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F7B" w:rsidRDefault="009E4F7B">
      <w:pPr>
        <w:rPr>
          <w:lang w:val="zh-CN"/>
        </w:rPr>
      </w:pPr>
    </w:p>
    <w:p w:rsidR="009E4F7B" w:rsidRDefault="000C7B47">
      <w:pPr>
        <w:spacing w:line="360" w:lineRule="auto"/>
        <w:jc w:val="center"/>
        <w:rPr>
          <w:rFonts w:eastAsia="宋体"/>
          <w:b/>
          <w:sz w:val="32"/>
          <w:szCs w:val="32"/>
        </w:rPr>
      </w:pPr>
      <w:r>
        <w:rPr>
          <w:rFonts w:eastAsia="宋体" w:hint="eastAsia"/>
          <w:b/>
          <w:sz w:val="32"/>
          <w:szCs w:val="32"/>
        </w:rPr>
        <w:t>《“共生优品”评价要求</w:t>
      </w:r>
      <w:r>
        <w:rPr>
          <w:rFonts w:eastAsia="宋体" w:hint="eastAsia"/>
          <w:b/>
          <w:sz w:val="32"/>
          <w:szCs w:val="32"/>
        </w:rPr>
        <w:t xml:space="preserve"> </w:t>
      </w:r>
      <w:r>
        <w:rPr>
          <w:rFonts w:eastAsia="宋体" w:hint="eastAsia"/>
          <w:b/>
          <w:sz w:val="32"/>
          <w:szCs w:val="32"/>
        </w:rPr>
        <w:t>家用燃气快速热水器》</w:t>
      </w:r>
    </w:p>
    <w:p w:rsidR="009E4F7B" w:rsidRDefault="000C7B47">
      <w:pPr>
        <w:spacing w:line="360" w:lineRule="auto"/>
        <w:jc w:val="center"/>
        <w:rPr>
          <w:rFonts w:ascii="华文新魏" w:eastAsia="华文新魏" w:hAnsi="Calibri"/>
          <w:szCs w:val="21"/>
        </w:rPr>
      </w:pPr>
      <w:r>
        <w:rPr>
          <w:rFonts w:eastAsia="宋体" w:hint="eastAsia"/>
          <w:b/>
          <w:sz w:val="32"/>
          <w:szCs w:val="32"/>
        </w:rPr>
        <w:t>编制说明</w:t>
      </w:r>
      <w:r>
        <w:rPr>
          <w:rFonts w:eastAsia="宋体" w:hint="eastAsia"/>
          <w:b/>
          <w:sz w:val="32"/>
          <w:szCs w:val="32"/>
        </w:rPr>
        <w:t xml:space="preserve">  </w:t>
      </w:r>
      <w:r>
        <w:rPr>
          <w:rFonts w:ascii="华文新魏" w:eastAsia="华文新魏" w:hAnsi="宋体" w:hint="eastAsia"/>
          <w:sz w:val="24"/>
          <w:szCs w:val="24"/>
        </w:rPr>
        <w:t xml:space="preserve"> </w:t>
      </w:r>
    </w:p>
    <w:p w:rsidR="009E4F7B" w:rsidRDefault="000C7B47">
      <w:pPr>
        <w:spacing w:before="100" w:beforeAutospacing="1" w:line="360" w:lineRule="auto"/>
        <w:jc w:val="left"/>
        <w:rPr>
          <w:rFonts w:ascii="黑体" w:eastAsia="黑体" w:hAnsi="宋体"/>
          <w:kern w:val="0"/>
          <w:sz w:val="24"/>
        </w:rPr>
      </w:pPr>
      <w:r>
        <w:rPr>
          <w:rFonts w:ascii="黑体" w:eastAsia="黑体" w:hAnsi="宋体" w:hint="eastAsia"/>
          <w:kern w:val="0"/>
          <w:sz w:val="24"/>
        </w:rPr>
        <w:t>一、工作简况</w:t>
      </w:r>
    </w:p>
    <w:p w:rsidR="009E4F7B" w:rsidRDefault="000C7B47">
      <w:pPr>
        <w:spacing w:line="360" w:lineRule="auto"/>
        <w:ind w:firstLineChars="200" w:firstLine="480"/>
        <w:jc w:val="left"/>
        <w:rPr>
          <w:rFonts w:ascii="黑体" w:eastAsia="黑体" w:hAnsi="宋体"/>
          <w:kern w:val="0"/>
          <w:sz w:val="24"/>
        </w:rPr>
      </w:pPr>
      <w:r>
        <w:rPr>
          <w:rFonts w:ascii="黑体" w:eastAsia="黑体" w:hAnsi="宋体" w:hint="eastAsia"/>
          <w:kern w:val="0"/>
          <w:sz w:val="24"/>
        </w:rPr>
        <w:t>1 任务来源</w:t>
      </w:r>
    </w:p>
    <w:p w:rsidR="001A1E4B" w:rsidRDefault="001A1E4B" w:rsidP="001A1E4B">
      <w:pPr>
        <w:pStyle w:val="aa"/>
        <w:spacing w:line="360" w:lineRule="auto"/>
        <w:ind w:firstLine="480"/>
        <w:rPr>
          <w:sz w:val="24"/>
          <w:szCs w:val="24"/>
        </w:rPr>
      </w:pPr>
      <w:r w:rsidRPr="002D492E">
        <w:rPr>
          <w:rFonts w:hint="eastAsia"/>
          <w:sz w:val="24"/>
          <w:szCs w:val="24"/>
        </w:rPr>
        <w:t>“共生优品”评价工作的是为了贯彻落实国家的高质量发展战略和工信部的“三品”战略”而开展的，同时此项标准项目的建立也是为了摸索如何有效贯彻落实《关于促进团体标准规范优质发展的意见》（国标委联（2022）6号）文件中，关于提升团体标准组织标准化工作能力、建立以需求为导向的团体标制定模式、拓宽团体标准推广应用渠道等意见。</w:t>
      </w:r>
    </w:p>
    <w:p w:rsidR="001A1E4B" w:rsidRPr="000A5C4D" w:rsidRDefault="001A1E4B" w:rsidP="001A1E4B">
      <w:pPr>
        <w:pStyle w:val="aa"/>
        <w:spacing w:line="360" w:lineRule="auto"/>
        <w:ind w:firstLine="480"/>
        <w:rPr>
          <w:sz w:val="24"/>
          <w:szCs w:val="24"/>
        </w:rPr>
      </w:pPr>
      <w:r>
        <w:rPr>
          <w:rFonts w:hint="eastAsia"/>
          <w:sz w:val="24"/>
          <w:szCs w:val="24"/>
        </w:rPr>
        <w:t>中国五金制品协会与</w:t>
      </w:r>
      <w:r w:rsidRPr="002D492E">
        <w:rPr>
          <w:rFonts w:hint="eastAsia"/>
          <w:sz w:val="24"/>
          <w:szCs w:val="24"/>
        </w:rPr>
        <w:t>北京共生至道科技有限公司</w:t>
      </w:r>
      <w:r>
        <w:rPr>
          <w:rFonts w:hint="eastAsia"/>
          <w:sz w:val="24"/>
          <w:szCs w:val="24"/>
        </w:rPr>
        <w:t xml:space="preserve">联合开展了“共生优品”的评价工作，并组织行业内龙头骨干企业共同编写《“共生优品”评价要求  </w:t>
      </w:r>
      <w:r>
        <w:rPr>
          <w:rFonts w:hint="eastAsia"/>
          <w:sz w:val="24"/>
          <w:szCs w:val="24"/>
        </w:rPr>
        <w:t>家用燃气快速热水器</w:t>
      </w:r>
      <w:bookmarkStart w:id="0" w:name="_GoBack"/>
      <w:bookmarkEnd w:id="0"/>
      <w:r>
        <w:rPr>
          <w:rFonts w:hint="eastAsia"/>
          <w:sz w:val="24"/>
          <w:szCs w:val="24"/>
        </w:rPr>
        <w:t>》团体标准。</w:t>
      </w:r>
    </w:p>
    <w:p w:rsidR="009E4F7B" w:rsidRDefault="000C7B47">
      <w:pPr>
        <w:spacing w:before="100" w:beforeAutospacing="1" w:line="360" w:lineRule="auto"/>
        <w:ind w:firstLineChars="200" w:firstLine="480"/>
        <w:jc w:val="left"/>
        <w:rPr>
          <w:rFonts w:ascii="黑体" w:eastAsia="黑体" w:hAnsi="宋体"/>
          <w:kern w:val="0"/>
          <w:sz w:val="24"/>
        </w:rPr>
      </w:pPr>
      <w:r>
        <w:rPr>
          <w:rFonts w:ascii="黑体" w:eastAsia="黑体" w:hAnsi="宋体" w:hint="eastAsia"/>
          <w:kern w:val="0"/>
          <w:sz w:val="24"/>
        </w:rPr>
        <w:t>2 主要工作过程</w:t>
      </w:r>
    </w:p>
    <w:p w:rsidR="009E4F7B" w:rsidRDefault="000C7B47">
      <w:pPr>
        <w:spacing w:line="360" w:lineRule="auto"/>
        <w:ind w:firstLineChars="200" w:firstLine="480"/>
        <w:jc w:val="left"/>
        <w:rPr>
          <w:rFonts w:ascii="宋体" w:eastAsia="宋体" w:hAnsi="宋体" w:cs="Times New Roman"/>
          <w:color w:val="000000"/>
          <w:kern w:val="0"/>
          <w:sz w:val="24"/>
        </w:rPr>
      </w:pPr>
      <w:r>
        <w:rPr>
          <w:rFonts w:ascii="宋体" w:eastAsia="宋体" w:hAnsi="宋体" w:cs="Times New Roman" w:hint="eastAsia"/>
          <w:color w:val="000000"/>
          <w:kern w:val="0"/>
          <w:sz w:val="24"/>
        </w:rPr>
        <w:t>起草（草案、论证）阶段：2020年6月《“共生优品”评价要求 家用燃气快速热水器》团体标准通过了中国五金制品协会团体标准立项计划审查会。确定标准以团体标准“共生优品”制度推动产品高质量发展。“共生优品”评价要求工作是为了贯彻落实国家高质量发展战略和工信部的“三品战略”而开展，此项标准也是为了摸索如何有效贯彻落实《关于促进团体标准规范优质发展的意见》（国标委联（2022）6号）文件中，关于提升团体标准组织标准化工作能力、建立以需求为导向的团体标准制定模式、拓宽团体标准推广应用渠道等意见。是通过高水平标准引领，增加中高端产品和服务有效供给，支撑高质量发展的鼓励性政策，对深化标准化工作改革、推动经济新旧动能转换、供给侧结构性改革和培育一批具有创新能力的排头兵企业具有重要作用。</w:t>
      </w:r>
    </w:p>
    <w:p w:rsidR="009E4F7B" w:rsidRDefault="000C7B47">
      <w:pPr>
        <w:pStyle w:val="GB-"/>
        <w:spacing w:line="300" w:lineRule="auto"/>
        <w:ind w:firstLine="480"/>
        <w:rPr>
          <w:color w:val="000000"/>
          <w:sz w:val="24"/>
          <w:szCs w:val="22"/>
        </w:rPr>
      </w:pPr>
      <w:r>
        <w:rPr>
          <w:rFonts w:hint="eastAsia"/>
          <w:color w:val="000000"/>
          <w:sz w:val="24"/>
          <w:szCs w:val="22"/>
        </w:rPr>
        <w:t>由中国五金制品协会组织起草《</w:t>
      </w:r>
      <w:r>
        <w:rPr>
          <w:rFonts w:hint="eastAsia"/>
          <w:color w:val="000000"/>
          <w:sz w:val="24"/>
        </w:rPr>
        <w:t>“共生优品”评价要求</w:t>
      </w:r>
      <w:r>
        <w:rPr>
          <w:rFonts w:hint="eastAsia"/>
          <w:color w:val="000000"/>
          <w:sz w:val="24"/>
          <w:szCs w:val="22"/>
        </w:rPr>
        <w:t xml:space="preserve"> 家用燃气快速热水器》标准的制定工作。</w:t>
      </w:r>
    </w:p>
    <w:p w:rsidR="009E4F7B" w:rsidRDefault="000C7B47">
      <w:pPr>
        <w:numPr>
          <w:ilvl w:val="0"/>
          <w:numId w:val="1"/>
        </w:numPr>
        <w:spacing w:line="360" w:lineRule="auto"/>
        <w:ind w:firstLineChars="200" w:firstLine="480"/>
        <w:rPr>
          <w:rFonts w:ascii="宋体" w:eastAsia="宋体" w:hAnsi="宋体" w:cs="Times New Roman"/>
          <w:color w:val="000000"/>
          <w:sz w:val="24"/>
        </w:rPr>
      </w:pPr>
      <w:r>
        <w:rPr>
          <w:rFonts w:ascii="宋体" w:eastAsia="宋体" w:hAnsi="宋体" w:cs="Times New Roman" w:hint="eastAsia"/>
          <w:color w:val="000000"/>
          <w:sz w:val="24"/>
        </w:rPr>
        <w:t>标准制定阶段：2020年6月29日和7月7日分别组织了两次标准讨论会议，根据有关行业专家及企业代表的建议对内容进行了修改，最终于7月20</w:t>
      </w:r>
      <w:r>
        <w:rPr>
          <w:rFonts w:ascii="宋体" w:eastAsia="宋体" w:hAnsi="宋体" w:cs="Times New Roman" w:hint="eastAsia"/>
          <w:color w:val="000000"/>
          <w:sz w:val="24"/>
        </w:rPr>
        <w:lastRenderedPageBreak/>
        <w:t>日完成征求意见稿。</w:t>
      </w:r>
    </w:p>
    <w:p w:rsidR="009E4F7B" w:rsidRDefault="000C7B47">
      <w:pPr>
        <w:numPr>
          <w:ilvl w:val="0"/>
          <w:numId w:val="1"/>
        </w:numPr>
        <w:spacing w:line="360" w:lineRule="auto"/>
        <w:ind w:firstLineChars="200" w:firstLine="480"/>
        <w:rPr>
          <w:rFonts w:ascii="宋体" w:eastAsia="宋体" w:hAnsi="宋体" w:cs="Times New Roman"/>
          <w:color w:val="000000"/>
          <w:sz w:val="24"/>
        </w:rPr>
      </w:pPr>
      <w:r>
        <w:rPr>
          <w:rFonts w:ascii="宋体" w:eastAsia="宋体" w:hAnsi="宋体" w:cs="Times New Roman" w:hint="eastAsia"/>
          <w:color w:val="000000"/>
          <w:sz w:val="24"/>
        </w:rPr>
        <w:t>征求意见阶段：2020年7月20日征求意见阶段。</w:t>
      </w:r>
    </w:p>
    <w:p w:rsidR="009E4F7B" w:rsidRDefault="000C7B47">
      <w:pPr>
        <w:spacing w:before="100" w:beforeAutospacing="1" w:afterLines="50" w:after="156" w:line="360" w:lineRule="auto"/>
        <w:jc w:val="left"/>
        <w:rPr>
          <w:rFonts w:ascii="黑体" w:eastAsia="黑体" w:hAnsi="宋体"/>
          <w:kern w:val="0"/>
          <w:sz w:val="24"/>
        </w:rPr>
      </w:pPr>
      <w:r>
        <w:rPr>
          <w:rFonts w:ascii="黑体" w:eastAsia="黑体" w:hAnsi="宋体" w:hint="eastAsia"/>
          <w:kern w:val="0"/>
          <w:sz w:val="24"/>
        </w:rPr>
        <w:t>二、标准编制原则和主要内容</w:t>
      </w:r>
    </w:p>
    <w:p w:rsidR="009E4F7B" w:rsidRDefault="000C7B47">
      <w:pPr>
        <w:pStyle w:val="TOC1"/>
        <w:tabs>
          <w:tab w:val="right" w:leader="dot" w:pos="8306"/>
        </w:tabs>
        <w:spacing w:line="400" w:lineRule="exact"/>
        <w:ind w:firstLineChars="200" w:firstLine="480"/>
        <w:rPr>
          <w:rFonts w:ascii="宋体" w:eastAsia="宋体" w:hAnsi="宋体" w:cs="Times New Roman"/>
          <w:color w:val="000000"/>
          <w:sz w:val="24"/>
          <w:szCs w:val="22"/>
        </w:rPr>
      </w:pPr>
      <w:r>
        <w:rPr>
          <w:rFonts w:ascii="宋体" w:eastAsia="宋体" w:hAnsi="宋体" w:cs="Times New Roman" w:hint="eastAsia"/>
          <w:color w:val="000000"/>
          <w:sz w:val="24"/>
          <w:szCs w:val="22"/>
        </w:rPr>
        <w:t>参照五金协会《“</w:t>
      </w:r>
      <w:r>
        <w:rPr>
          <w:rFonts w:ascii="宋体" w:eastAsia="宋体" w:hAnsi="宋体" w:cs="Times New Roman" w:hint="eastAsia"/>
          <w:color w:val="000000"/>
          <w:sz w:val="24"/>
        </w:rPr>
        <w:t>共生优品</w:t>
      </w:r>
      <w:r>
        <w:rPr>
          <w:rFonts w:ascii="宋体" w:eastAsia="宋体" w:hAnsi="宋体" w:cs="Times New Roman" w:hint="eastAsia"/>
          <w:color w:val="000000"/>
          <w:sz w:val="24"/>
          <w:szCs w:val="22"/>
        </w:rPr>
        <w:t>”标准编制通则》（以下简称《通则》）标准要求，确定本标准主要框架和部分内容。</w:t>
      </w:r>
    </w:p>
    <w:p w:rsidR="009E4F7B" w:rsidRDefault="000C7B47">
      <w:pPr>
        <w:pStyle w:val="TOC1"/>
        <w:tabs>
          <w:tab w:val="right" w:leader="dot" w:pos="8306"/>
        </w:tabs>
        <w:spacing w:line="400" w:lineRule="exact"/>
        <w:ind w:firstLineChars="200" w:firstLine="480"/>
        <w:rPr>
          <w:rFonts w:ascii="宋体" w:eastAsia="宋体" w:hAnsi="宋体" w:cs="Times New Roman"/>
          <w:color w:val="000000"/>
          <w:sz w:val="24"/>
          <w:szCs w:val="22"/>
        </w:rPr>
      </w:pPr>
      <w:r>
        <w:rPr>
          <w:rFonts w:ascii="宋体" w:eastAsia="宋体" w:hAnsi="宋体" w:cs="Times New Roman" w:hint="eastAsia"/>
          <w:color w:val="000000"/>
          <w:sz w:val="24"/>
          <w:szCs w:val="22"/>
        </w:rPr>
        <w:t>在广泛收集、对比国内外家用燃气快速热水器产品质量和性能的基础上，依据与产品相关的政策、法律法规、技术指标、标准等文献，选择典型企业突出的产品、按照行业同类产品优质、领先的产品进行系统深入调研，结合我国家用燃气快速热水器制造的现状，在进行全面系统研究的基础上，对标准进行撰写。标准主要给出了家用燃气快速热水器“</w:t>
      </w:r>
      <w:r>
        <w:rPr>
          <w:rFonts w:ascii="宋体" w:eastAsia="宋体" w:hAnsi="宋体" w:cs="Times New Roman" w:hint="eastAsia"/>
          <w:color w:val="000000"/>
          <w:sz w:val="24"/>
        </w:rPr>
        <w:t>共生优品</w:t>
      </w:r>
      <w:r>
        <w:rPr>
          <w:rFonts w:ascii="宋体" w:eastAsia="宋体" w:hAnsi="宋体" w:cs="Times New Roman" w:hint="eastAsia"/>
          <w:color w:val="000000"/>
          <w:sz w:val="24"/>
          <w:szCs w:val="22"/>
        </w:rPr>
        <w:t>”产品评价技术要求</w:t>
      </w:r>
      <w:r>
        <w:rPr>
          <w:rFonts w:ascii="宋体" w:eastAsia="宋体" w:hAnsi="宋体" w:cs="Times New Roman" w:hint="eastAsia"/>
          <w:color w:val="000000"/>
          <w:sz w:val="24"/>
          <w:szCs w:val="22"/>
        </w:rPr>
        <w:fldChar w:fldCharType="begin"/>
      </w:r>
      <w:r>
        <w:rPr>
          <w:rFonts w:ascii="宋体" w:eastAsia="宋体" w:hAnsi="宋体" w:cs="Times New Roman" w:hint="eastAsia"/>
          <w:color w:val="000000"/>
          <w:sz w:val="24"/>
          <w:szCs w:val="22"/>
        </w:rPr>
        <w:instrText xml:space="preserve"> TOC \o </w:instrText>
      </w:r>
      <w:r>
        <w:rPr>
          <w:rFonts w:ascii="宋体" w:eastAsia="宋体" w:hAnsi="宋体" w:cs="Times New Roman" w:hint="eastAsia"/>
          <w:color w:val="000000"/>
          <w:sz w:val="24"/>
          <w:szCs w:val="22"/>
        </w:rPr>
        <w:fldChar w:fldCharType="separate"/>
      </w:r>
      <w:r>
        <w:rPr>
          <w:rFonts w:ascii="宋体" w:eastAsia="宋体" w:hAnsi="宋体" w:cs="Times New Roman" w:hint="eastAsia"/>
          <w:color w:val="000000"/>
          <w:sz w:val="24"/>
          <w:szCs w:val="22"/>
        </w:rPr>
        <w:t>的</w:t>
      </w:r>
      <w:hyperlink w:anchor="_Toc18959" w:history="1">
        <w:r>
          <w:rPr>
            <w:rFonts w:ascii="宋体" w:eastAsia="宋体" w:hAnsi="宋体" w:cs="Times New Roman" w:hint="eastAsia"/>
            <w:color w:val="000000"/>
            <w:sz w:val="24"/>
            <w:szCs w:val="22"/>
          </w:rPr>
          <w:t>基本要求、</w:t>
        </w:r>
      </w:hyperlink>
      <w:r>
        <w:rPr>
          <w:rFonts w:ascii="宋体" w:eastAsia="宋体" w:hAnsi="宋体" w:cs="Times New Roman" w:hint="eastAsia"/>
          <w:color w:val="000000"/>
          <w:sz w:val="24"/>
          <w:szCs w:val="22"/>
        </w:rPr>
        <w:t>性能指标两部分作为评价内容。</w:t>
      </w:r>
    </w:p>
    <w:p w:rsidR="009E4F7B" w:rsidRDefault="000C7B47">
      <w:pPr>
        <w:pStyle w:val="TOC1"/>
        <w:tabs>
          <w:tab w:val="right" w:leader="dot" w:pos="8306"/>
        </w:tabs>
        <w:spacing w:line="400" w:lineRule="exact"/>
        <w:rPr>
          <w:rFonts w:ascii="宋体" w:eastAsia="宋体" w:hAnsi="宋体" w:cs="Times New Roman"/>
          <w:color w:val="000000"/>
          <w:sz w:val="24"/>
          <w:szCs w:val="22"/>
        </w:rPr>
      </w:pPr>
      <w:r>
        <w:rPr>
          <w:rFonts w:ascii="宋体" w:eastAsia="宋体" w:hAnsi="宋体" w:cs="Times New Roman" w:hint="eastAsia"/>
          <w:color w:val="000000"/>
          <w:sz w:val="24"/>
          <w:szCs w:val="22"/>
        </w:rPr>
        <w:t xml:space="preserve">  </w:t>
      </w:r>
      <w:r>
        <w:rPr>
          <w:rFonts w:ascii="宋体" w:eastAsia="宋体" w:hAnsi="宋体" w:cs="Times New Roman" w:hint="eastAsia"/>
          <w:color w:val="000000"/>
          <w:sz w:val="24"/>
          <w:szCs w:val="22"/>
        </w:rPr>
        <w:fldChar w:fldCharType="end"/>
      </w:r>
      <w:r>
        <w:rPr>
          <w:rFonts w:ascii="宋体" w:eastAsia="宋体" w:hAnsi="宋体" w:cs="Times New Roman" w:hint="eastAsia"/>
          <w:color w:val="000000"/>
          <w:sz w:val="24"/>
          <w:szCs w:val="22"/>
        </w:rPr>
        <w:t xml:space="preserve"> 主要内容包括以下几个方面：</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（1）范围、（2）规范性引用文件、（3）术语和定义、（4）</w:t>
      </w:r>
      <w:hyperlink w:anchor="_Toc18959" w:history="1">
        <w:r>
          <w:rPr>
            <w:rFonts w:ascii="宋体" w:eastAsia="宋体" w:hAnsi="宋体" w:cs="Times New Roman" w:hint="eastAsia"/>
            <w:color w:val="000000"/>
            <w:kern w:val="0"/>
            <w:sz w:val="24"/>
          </w:rPr>
          <w:t>基本要求、</w:t>
        </w:r>
      </w:hyperlink>
    </w:p>
    <w:p w:rsidR="009E4F7B" w:rsidRDefault="000C7B47">
      <w:pPr>
        <w:adjustRightInd w:val="0"/>
        <w:snapToGrid w:val="0"/>
        <w:spacing w:line="300" w:lineRule="auto"/>
        <w:rPr>
          <w:rFonts w:ascii="宋体" w:eastAsia="宋体" w:hAnsi="宋体" w:cs="Times New Roman"/>
          <w:color w:val="000000"/>
          <w:kern w:val="0"/>
          <w:sz w:val="24"/>
        </w:rPr>
      </w:pPr>
      <w:r>
        <w:rPr>
          <w:rFonts w:ascii="宋体" w:eastAsia="宋体" w:hAnsi="宋体" w:cs="Times New Roman" w:hint="eastAsia"/>
          <w:color w:val="000000"/>
          <w:kern w:val="0"/>
          <w:sz w:val="24"/>
        </w:rPr>
        <w:t>（5）</w:t>
      </w:r>
      <w:hyperlink w:anchor="_Toc32471" w:history="1">
        <w:r>
          <w:rPr>
            <w:rFonts w:ascii="宋体" w:eastAsia="宋体" w:hAnsi="宋体" w:cs="Times New Roman" w:hint="eastAsia"/>
            <w:color w:val="000000"/>
            <w:kern w:val="0"/>
            <w:sz w:val="24"/>
          </w:rPr>
          <w:t>评价指标体系</w:t>
        </w:r>
      </w:hyperlink>
      <w:r>
        <w:rPr>
          <w:rFonts w:ascii="宋体" w:eastAsia="宋体" w:hAnsi="宋体" w:cs="Times New Roman" w:hint="eastAsia"/>
          <w:color w:val="000000"/>
          <w:kern w:val="0"/>
          <w:sz w:val="24"/>
        </w:rPr>
        <w:t>、（6）</w:t>
      </w:r>
      <w:hyperlink w:anchor="_Toc10251" w:history="1">
        <w:r>
          <w:rPr>
            <w:rFonts w:ascii="宋体" w:eastAsia="宋体" w:hAnsi="宋体" w:cs="Times New Roman" w:hint="eastAsia"/>
            <w:color w:val="000000"/>
            <w:kern w:val="0"/>
            <w:sz w:val="24"/>
          </w:rPr>
          <w:t>评价方法</w:t>
        </w:r>
      </w:hyperlink>
      <w:r>
        <w:rPr>
          <w:rFonts w:ascii="宋体" w:eastAsia="宋体" w:hAnsi="宋体" w:cs="Times New Roman" w:hint="eastAsia"/>
          <w:color w:val="000000"/>
          <w:kern w:val="0"/>
          <w:sz w:val="24"/>
        </w:rPr>
        <w:t>部分。</w:t>
      </w:r>
    </w:p>
    <w:p w:rsidR="009E4F7B" w:rsidRDefault="000C7B47">
      <w:pPr>
        <w:adjustRightInd w:val="0"/>
        <w:snapToGrid w:val="0"/>
        <w:spacing w:line="300" w:lineRule="auto"/>
        <w:ind w:firstLineChars="300" w:firstLine="720"/>
        <w:rPr>
          <w:rFonts w:ascii="宋体" w:eastAsia="宋体" w:hAnsi="宋体" w:cs="Times New Roman"/>
          <w:color w:val="000000"/>
          <w:kern w:val="0"/>
          <w:sz w:val="24"/>
        </w:rPr>
      </w:pPr>
      <w:r>
        <w:rPr>
          <w:rFonts w:ascii="宋体" w:eastAsia="宋体" w:hAnsi="宋体" w:cs="Times New Roman" w:hint="eastAsia"/>
          <w:color w:val="000000"/>
          <w:kern w:val="0"/>
          <w:sz w:val="24"/>
        </w:rPr>
        <w:t>1、基本要求：</w:t>
      </w:r>
    </w:p>
    <w:p w:rsidR="009E4F7B" w:rsidRDefault="000C7B47">
      <w:pPr>
        <w:adjustRightInd w:val="0"/>
        <w:snapToGrid w:val="0"/>
        <w:spacing w:line="300" w:lineRule="auto"/>
        <w:rPr>
          <w:rFonts w:ascii="宋体" w:eastAsia="宋体" w:hAnsi="宋体" w:cs="Times New Roman"/>
          <w:color w:val="000000"/>
          <w:kern w:val="0"/>
          <w:sz w:val="24"/>
        </w:rPr>
      </w:pPr>
      <w:r>
        <w:rPr>
          <w:rFonts w:ascii="宋体" w:eastAsia="宋体" w:hAnsi="宋体" w:cs="Times New Roman" w:hint="eastAsia"/>
          <w:color w:val="000000"/>
          <w:kern w:val="0"/>
          <w:sz w:val="24"/>
        </w:rPr>
        <w:t xml:space="preserve">    依据《通则》要求制定。要求产品生产企业或服务提供企业必须满足近三年无较大环境、安全、质量事故，企业的信誉记录要求，企业管理体系要求，规模化的服务体系要求及产品的合规性要求。</w:t>
      </w:r>
    </w:p>
    <w:p w:rsidR="009E4F7B" w:rsidRDefault="000C7B47">
      <w:pPr>
        <w:numPr>
          <w:ilvl w:val="0"/>
          <w:numId w:val="2"/>
        </w:numPr>
        <w:adjustRightInd w:val="0"/>
        <w:snapToGrid w:val="0"/>
        <w:spacing w:line="300" w:lineRule="auto"/>
        <w:ind w:firstLineChars="300" w:firstLine="720"/>
        <w:rPr>
          <w:rFonts w:ascii="宋体" w:eastAsia="宋体" w:hAnsi="宋体" w:cs="Times New Roman"/>
          <w:color w:val="000000"/>
          <w:kern w:val="0"/>
          <w:sz w:val="24"/>
        </w:rPr>
      </w:pPr>
      <w:r>
        <w:rPr>
          <w:rFonts w:ascii="宋体" w:eastAsia="宋体" w:hAnsi="宋体" w:cs="Times New Roman" w:hint="eastAsia"/>
          <w:color w:val="000000"/>
          <w:kern w:val="0"/>
          <w:sz w:val="24"/>
        </w:rPr>
        <w:t>评价指标体系</w:t>
      </w:r>
    </w:p>
    <w:p w:rsidR="009E4F7B" w:rsidRDefault="000C7B47">
      <w:pPr>
        <w:adjustRightInd w:val="0"/>
        <w:snapToGrid w:val="0"/>
        <w:spacing w:line="300" w:lineRule="auto"/>
        <w:rPr>
          <w:rFonts w:ascii="宋体" w:eastAsia="宋体" w:hAnsi="宋体" w:cs="Times New Roman"/>
          <w:color w:val="000000"/>
          <w:sz w:val="24"/>
        </w:rPr>
      </w:pPr>
      <w:r>
        <w:rPr>
          <w:rFonts w:ascii="宋体" w:eastAsia="宋体" w:hAnsi="宋体" w:cs="Times New Roman" w:hint="eastAsia"/>
          <w:color w:val="000000"/>
          <w:kern w:val="0"/>
          <w:sz w:val="24"/>
        </w:rPr>
        <w:t xml:space="preserve">    评价指标分为两大类，即必选性能指标和可选性能指标。必选性能指标包含了与燃气快速热水器性能要求关联的最小热负荷、加热时间、热水产率、烟气中一氧化碳、燃烧噪声指标，体现了产品燃烧性能的要求，热水使用性能要求及用户使用舒适性体验感。可选性能指标以燃气热水器新技术应用和领先技术水平为要求制定，体现为高效冷凝技术的高热效率、“零冷水”技术的出热水时间指标、全预混热水器的烟气一氧化碳指标、环保要求的低氮氧化物排放指标要求，能够代表当前领先技术的产品发展。</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3、评价方法</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“共生优品”产品的确定，需要根据“共生优品”工作机构组织评审、通过并公示的有关评估方案要求确定。</w:t>
      </w:r>
    </w:p>
    <w:p w:rsidR="009E4F7B" w:rsidRDefault="000C7B47">
      <w:pPr>
        <w:numPr>
          <w:ilvl w:val="0"/>
          <w:numId w:val="3"/>
        </w:numPr>
        <w:spacing w:before="100" w:beforeAutospacing="1" w:line="360" w:lineRule="auto"/>
        <w:ind w:firstLineChars="100" w:firstLine="240"/>
        <w:jc w:val="left"/>
        <w:rPr>
          <w:rFonts w:ascii="黑体" w:eastAsia="黑体" w:hAnsi="宋体"/>
          <w:kern w:val="0"/>
          <w:sz w:val="24"/>
        </w:rPr>
      </w:pPr>
      <w:r>
        <w:rPr>
          <w:rFonts w:ascii="黑体" w:eastAsia="黑体" w:hAnsi="宋体" w:hint="eastAsia"/>
          <w:kern w:val="0"/>
          <w:sz w:val="24"/>
        </w:rPr>
        <w:t>主要试验（或验证）情况</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本标准主要以引用的相关标准指标和参数为依据，不涉及未确定的指标内容。</w:t>
      </w:r>
    </w:p>
    <w:p w:rsidR="009E4F7B" w:rsidRDefault="000C7B47">
      <w:pPr>
        <w:spacing w:before="100" w:beforeAutospacing="1" w:line="360" w:lineRule="auto"/>
        <w:jc w:val="left"/>
        <w:rPr>
          <w:rFonts w:ascii="黑体" w:eastAsia="黑体" w:hAnsi="宋体"/>
          <w:kern w:val="0"/>
          <w:sz w:val="24"/>
        </w:rPr>
      </w:pPr>
      <w:r>
        <w:rPr>
          <w:rFonts w:ascii="黑体" w:eastAsia="黑体" w:hAnsi="宋体" w:hint="eastAsia"/>
          <w:kern w:val="0"/>
          <w:sz w:val="24"/>
        </w:rPr>
        <w:t>四、标准中涉及专利的情况</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lastRenderedPageBreak/>
        <w:t>本标准不涉及专利问题</w:t>
      </w:r>
    </w:p>
    <w:p w:rsidR="009E4F7B" w:rsidRDefault="000C7B47">
      <w:pPr>
        <w:spacing w:before="100" w:beforeAutospacing="1" w:line="360" w:lineRule="auto"/>
        <w:jc w:val="left"/>
        <w:rPr>
          <w:rFonts w:ascii="黑体" w:eastAsia="黑体" w:hAnsi="宋体"/>
          <w:kern w:val="0"/>
          <w:sz w:val="24"/>
        </w:rPr>
      </w:pPr>
      <w:r>
        <w:rPr>
          <w:rFonts w:ascii="黑体" w:eastAsia="黑体" w:hAnsi="宋体" w:hint="eastAsia"/>
          <w:kern w:val="0"/>
          <w:sz w:val="24"/>
        </w:rPr>
        <w:t>五、预期达到的社会效益、对产业发展的作用等情况</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 xml:space="preserve"> 建立企业标准《“共生优品”评价要求 家用燃气快速热水器》意义重大，其目标是通过燃气热水器产品标准水平的升级，带动产品质量的全面提升。推动先进科技成果转化为标准，以标准优势巩固技术优势，提高标准的先进性、有效性和适用性，增强产品竟争力。</w:t>
      </w:r>
    </w:p>
    <w:p w:rsidR="009E4F7B" w:rsidRDefault="000C7B47">
      <w:pPr>
        <w:adjustRightInd w:val="0"/>
        <w:snapToGrid w:val="0"/>
        <w:spacing w:line="300" w:lineRule="auto"/>
        <w:ind w:firstLineChars="200" w:firstLine="480"/>
        <w:rPr>
          <w:rFonts w:ascii="宋体" w:eastAsia="宋体" w:hAnsi="宋体" w:cs="Times New Roman"/>
          <w:color w:val="000000"/>
          <w:kern w:val="0"/>
          <w:sz w:val="24"/>
        </w:rPr>
      </w:pPr>
      <w:r>
        <w:rPr>
          <w:rFonts w:ascii="宋体" w:eastAsia="宋体" w:hAnsi="宋体" w:cs="Times New Roman" w:hint="eastAsia"/>
          <w:color w:val="000000"/>
          <w:kern w:val="0"/>
          <w:sz w:val="24"/>
        </w:rPr>
        <w:t>标准性能指标高于国家标准及行业标准，创新性指标能够代表本行业最新技术发展，树立起高标准的行业标杆，鼓励领军者不断掌握创新性指标，以高层次的竞争推进行业的质量升级。</w:t>
      </w:r>
    </w:p>
    <w:p w:rsidR="009E4F7B" w:rsidRDefault="000C7B47">
      <w:pPr>
        <w:spacing w:before="100" w:beforeAutospacing="1" w:line="360" w:lineRule="auto"/>
        <w:jc w:val="left"/>
        <w:rPr>
          <w:rFonts w:ascii="黑体" w:eastAsia="黑体" w:hAnsi="宋体"/>
          <w:kern w:val="0"/>
          <w:sz w:val="24"/>
        </w:rPr>
      </w:pPr>
      <w:r>
        <w:rPr>
          <w:rFonts w:ascii="黑体" w:eastAsia="黑体" w:hAnsi="宋体" w:hint="eastAsia"/>
          <w:kern w:val="0"/>
          <w:sz w:val="24"/>
        </w:rPr>
        <w:t>六、与国际、国外对比情况</w:t>
      </w:r>
    </w:p>
    <w:p w:rsidR="009E4F7B" w:rsidRDefault="000C7B47">
      <w:pPr>
        <w:ind w:firstLine="480"/>
        <w:rPr>
          <w:rFonts w:ascii="宋体" w:eastAsia="宋体" w:hAnsi="宋体" w:cs="Times New Roman"/>
          <w:color w:val="000000"/>
          <w:sz w:val="24"/>
        </w:rPr>
      </w:pPr>
      <w:r>
        <w:rPr>
          <w:rFonts w:ascii="宋体" w:eastAsia="宋体" w:hAnsi="宋体" w:cs="Times New Roman" w:hint="eastAsia"/>
          <w:color w:val="000000"/>
          <w:sz w:val="24"/>
        </w:rPr>
        <w:t>燃气热水器国际先进标准：欧盟标准EN26：2015《提供生活热水的燃气快速热水器》、日本工业标准JIS S 2109《家用燃气热水器》。本标准在核心指中对比如下表：</w:t>
      </w:r>
    </w:p>
    <w:tbl>
      <w:tblPr>
        <w:tblStyle w:val="a9"/>
        <w:tblW w:w="8522" w:type="dxa"/>
        <w:tblLayout w:type="fixed"/>
        <w:tblLook w:val="04A0" w:firstRow="1" w:lastRow="0" w:firstColumn="1" w:lastColumn="0" w:noHBand="0" w:noVBand="1"/>
      </w:tblPr>
      <w:tblGrid>
        <w:gridCol w:w="1321"/>
        <w:gridCol w:w="1890"/>
        <w:gridCol w:w="2115"/>
        <w:gridCol w:w="3196"/>
      </w:tblGrid>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指标</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“”标准</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欧标EN26</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日本标准JIS S 2109</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热效率</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≥89%</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≥80%</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≥80%</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加热时间</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≤15s</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≤35s</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≤45s</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热水产率</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≥97%</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≥90%</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≥90%</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烟气CO</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≤0.03%</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≤0.1%</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≤0.06%</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燃烧噪声</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≤54dB</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≤60dB</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≤60dB</w:t>
            </w:r>
          </w:p>
        </w:tc>
      </w:tr>
      <w:tr w:rsidR="009E4F7B">
        <w:tc>
          <w:tcPr>
            <w:tcW w:w="1321"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烟气中氮氧化</w:t>
            </w:r>
          </w:p>
        </w:tc>
        <w:tc>
          <w:tcPr>
            <w:tcW w:w="1890"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≤100mg/kWh</w:t>
            </w:r>
          </w:p>
        </w:tc>
        <w:tc>
          <w:tcPr>
            <w:tcW w:w="2115"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≤56mg/kWh</w:t>
            </w:r>
          </w:p>
        </w:tc>
        <w:tc>
          <w:tcPr>
            <w:tcW w:w="3196" w:type="dxa"/>
          </w:tcPr>
          <w:p w:rsidR="009E4F7B" w:rsidRDefault="000C7B47">
            <w:pPr>
              <w:rPr>
                <w:rFonts w:ascii="宋体" w:eastAsia="宋体" w:hAnsi="宋体" w:cs="Times New Roman"/>
                <w:color w:val="000000"/>
                <w:sz w:val="24"/>
              </w:rPr>
            </w:pPr>
            <w:r>
              <w:rPr>
                <w:rFonts w:ascii="宋体" w:eastAsia="宋体" w:hAnsi="宋体" w:cs="Times New Roman" w:hint="eastAsia"/>
                <w:color w:val="000000"/>
                <w:sz w:val="24"/>
              </w:rPr>
              <w:t>无</w:t>
            </w:r>
          </w:p>
        </w:tc>
      </w:tr>
    </w:tbl>
    <w:p w:rsidR="009E4F7B" w:rsidRDefault="000C7B47">
      <w:pPr>
        <w:ind w:firstLine="480"/>
        <w:rPr>
          <w:rFonts w:ascii="宋体" w:eastAsia="宋体" w:hAnsi="宋体" w:cs="Times New Roman"/>
          <w:color w:val="000000"/>
          <w:sz w:val="24"/>
        </w:rPr>
      </w:pPr>
      <w:r>
        <w:rPr>
          <w:rFonts w:ascii="宋体" w:eastAsia="宋体" w:hAnsi="宋体" w:cs="Times New Roman" w:hint="eastAsia"/>
          <w:color w:val="000000"/>
          <w:sz w:val="24"/>
        </w:rPr>
        <w:t>主要指标均高于国外标准要求。</w:t>
      </w:r>
    </w:p>
    <w:p w:rsidR="009E4F7B" w:rsidRDefault="000C7B47">
      <w:pPr>
        <w:spacing w:beforeLines="50" w:before="156" w:line="360" w:lineRule="auto"/>
        <w:jc w:val="left"/>
        <w:rPr>
          <w:rFonts w:ascii="黑体" w:eastAsia="黑体" w:hAnsi="宋体"/>
          <w:kern w:val="0"/>
          <w:sz w:val="24"/>
        </w:rPr>
      </w:pPr>
      <w:r>
        <w:rPr>
          <w:rFonts w:ascii="黑体" w:eastAsia="黑体" w:hAnsi="宋体" w:hint="eastAsia"/>
          <w:kern w:val="0"/>
          <w:sz w:val="24"/>
        </w:rPr>
        <w:t>七、在标准体系中的位置，与现行相关法律、法规、规章及相关标准，特别是强制性标准的协调性</w:t>
      </w:r>
    </w:p>
    <w:p w:rsidR="009E4F7B" w:rsidRDefault="000C7B47">
      <w:pPr>
        <w:spacing w:line="300" w:lineRule="auto"/>
        <w:ind w:firstLineChars="200" w:firstLine="480"/>
        <w:jc w:val="left"/>
        <w:rPr>
          <w:rFonts w:ascii="宋体" w:eastAsia="宋体" w:hAnsi="宋体" w:cs="Times New Roman"/>
          <w:color w:val="000000"/>
          <w:kern w:val="0"/>
          <w:sz w:val="24"/>
        </w:rPr>
      </w:pPr>
      <w:r>
        <w:rPr>
          <w:rFonts w:ascii="宋体" w:eastAsia="宋体" w:hAnsi="宋体" w:cs="Times New Roman" w:hint="eastAsia"/>
          <w:color w:val="000000"/>
          <w:kern w:val="0"/>
          <w:sz w:val="24"/>
        </w:rPr>
        <w:t>本专业领域的标准体系框架ICS 97.140.73。</w:t>
      </w:r>
    </w:p>
    <w:p w:rsidR="009E4F7B" w:rsidRDefault="000C7B47">
      <w:pPr>
        <w:spacing w:line="300" w:lineRule="auto"/>
        <w:ind w:firstLineChars="200" w:firstLine="480"/>
        <w:jc w:val="left"/>
        <w:rPr>
          <w:rFonts w:ascii="宋体" w:eastAsia="宋体" w:hAnsi="宋体" w:cs="Times New Roman"/>
          <w:color w:val="000000"/>
          <w:kern w:val="0"/>
          <w:sz w:val="24"/>
        </w:rPr>
      </w:pPr>
      <w:r>
        <w:rPr>
          <w:rFonts w:ascii="宋体" w:eastAsia="宋体" w:hAnsi="宋体" w:cs="Times New Roman" w:hint="eastAsia"/>
          <w:color w:val="000000"/>
          <w:kern w:val="0"/>
          <w:sz w:val="24"/>
        </w:rPr>
        <w:t>本标准属于ICS国家标准分类，标准体系“家用和商用设备、文娱、体育”中类，“家用、商用和工业用加热器具” 小类，“气体加热器”系列。</w:t>
      </w:r>
    </w:p>
    <w:p w:rsidR="009E4F7B" w:rsidRDefault="000C7B47">
      <w:pPr>
        <w:spacing w:line="300" w:lineRule="auto"/>
        <w:ind w:firstLineChars="200" w:firstLine="480"/>
        <w:jc w:val="left"/>
        <w:rPr>
          <w:rFonts w:ascii="宋体" w:eastAsia="宋体" w:hAnsi="宋体" w:cs="Times New Roman"/>
          <w:color w:val="000000"/>
          <w:kern w:val="0"/>
          <w:sz w:val="24"/>
        </w:rPr>
      </w:pPr>
      <w:r>
        <w:rPr>
          <w:rFonts w:ascii="宋体" w:eastAsia="宋体" w:hAnsi="宋体" w:cs="Times New Roman" w:hint="eastAsia"/>
          <w:color w:val="000000"/>
          <w:kern w:val="0"/>
          <w:sz w:val="24"/>
        </w:rPr>
        <w:t>本标准与现行相关法律、法规、规章及相关标准协调一致。</w:t>
      </w:r>
    </w:p>
    <w:p w:rsidR="009E4F7B" w:rsidRDefault="009E4F7B">
      <w:pPr>
        <w:spacing w:line="300" w:lineRule="auto"/>
        <w:ind w:firstLineChars="200" w:firstLine="480"/>
        <w:jc w:val="left"/>
        <w:rPr>
          <w:rFonts w:ascii="宋体" w:eastAsia="宋体" w:hAnsi="宋体" w:cs="Times New Roman"/>
          <w:color w:val="000000"/>
          <w:kern w:val="0"/>
          <w:sz w:val="24"/>
        </w:rPr>
      </w:pPr>
    </w:p>
    <w:p w:rsidR="009E4F7B" w:rsidRDefault="009E4F7B">
      <w:pPr>
        <w:spacing w:line="300" w:lineRule="auto"/>
        <w:ind w:firstLineChars="200" w:firstLine="480"/>
        <w:jc w:val="left"/>
        <w:rPr>
          <w:rFonts w:ascii="宋体" w:eastAsia="宋体" w:hAnsi="宋体" w:cs="Times New Roman"/>
          <w:color w:val="000000"/>
          <w:kern w:val="0"/>
          <w:sz w:val="24"/>
        </w:rPr>
      </w:pPr>
    </w:p>
    <w:p w:rsidR="009E4F7B" w:rsidRDefault="000C7B47">
      <w:pPr>
        <w:spacing w:line="300" w:lineRule="auto"/>
        <w:ind w:firstLineChars="200" w:firstLine="480"/>
        <w:jc w:val="left"/>
        <w:rPr>
          <w:rFonts w:ascii="宋体" w:eastAsia="宋体" w:hAnsi="宋体" w:cs="Times New Roman"/>
          <w:color w:val="000000"/>
          <w:kern w:val="0"/>
          <w:sz w:val="24"/>
        </w:rPr>
      </w:pPr>
      <w:r>
        <w:rPr>
          <w:rFonts w:ascii="宋体" w:eastAsia="宋体" w:hAnsi="宋体" w:cs="Times New Roman" w:hint="eastAsia"/>
          <w:color w:val="000000"/>
          <w:kern w:val="0"/>
          <w:sz w:val="24"/>
        </w:rPr>
        <w:t xml:space="preserve">                            </w:t>
      </w:r>
    </w:p>
    <w:p w:rsidR="009E4F7B" w:rsidRDefault="000C7B47">
      <w:pPr>
        <w:rPr>
          <w:rFonts w:ascii="宋体" w:eastAsia="宋体" w:hAnsi="宋体" w:cs="Times New Roman"/>
          <w:color w:val="000000"/>
          <w:kern w:val="0"/>
          <w:sz w:val="24"/>
        </w:rPr>
      </w:pPr>
      <w:r>
        <w:rPr>
          <w:rFonts w:hint="eastAsia"/>
        </w:rPr>
        <w:t xml:space="preserve">          </w:t>
      </w:r>
      <w:r>
        <w:rPr>
          <w:rFonts w:ascii="宋体" w:eastAsia="宋体" w:hAnsi="宋体" w:cs="Times New Roman" w:hint="eastAsia"/>
          <w:color w:val="000000"/>
          <w:kern w:val="0"/>
          <w:sz w:val="24"/>
        </w:rPr>
        <w:t xml:space="preserve">  《 “共生优品”评价要求 家用燃气快速热水器》标准编制组</w:t>
      </w:r>
    </w:p>
    <w:p w:rsidR="009E4F7B" w:rsidRDefault="000C7B47">
      <w:pPr>
        <w:rPr>
          <w:rFonts w:ascii="宋体" w:eastAsia="宋体" w:hAnsi="宋体" w:cs="Times New Roman"/>
          <w:color w:val="000000"/>
          <w:kern w:val="0"/>
          <w:sz w:val="24"/>
        </w:rPr>
      </w:pPr>
      <w:r>
        <w:rPr>
          <w:rFonts w:ascii="宋体" w:eastAsia="宋体" w:hAnsi="宋体" w:cs="Times New Roman" w:hint="eastAsia"/>
          <w:color w:val="000000"/>
          <w:kern w:val="0"/>
          <w:sz w:val="24"/>
        </w:rPr>
        <w:t xml:space="preserve">                                      </w:t>
      </w:r>
    </w:p>
    <w:p w:rsidR="009E4F7B" w:rsidRDefault="000C7B47">
      <w:pPr>
        <w:ind w:firstLineChars="2100" w:firstLine="5040"/>
        <w:rPr>
          <w:rFonts w:ascii="宋体" w:eastAsia="宋体" w:hAnsi="宋体" w:cs="Times New Roman"/>
          <w:color w:val="000000"/>
          <w:kern w:val="0"/>
          <w:sz w:val="24"/>
        </w:rPr>
      </w:pPr>
      <w:r>
        <w:rPr>
          <w:rFonts w:ascii="宋体" w:eastAsia="宋体" w:hAnsi="宋体" w:cs="Times New Roman" w:hint="eastAsia"/>
          <w:color w:val="000000"/>
          <w:kern w:val="0"/>
          <w:sz w:val="24"/>
        </w:rPr>
        <w:t>2022年 7月11日</w:t>
      </w:r>
    </w:p>
    <w:p w:rsidR="009E4F7B" w:rsidRDefault="009E4F7B"/>
    <w:p w:rsidR="009E4F7B" w:rsidRDefault="009E4F7B"/>
    <w:sectPr w:rsidR="009E4F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F13" w:rsidRDefault="00586F13" w:rsidP="00043858">
      <w:r>
        <w:separator/>
      </w:r>
    </w:p>
  </w:endnote>
  <w:endnote w:type="continuationSeparator" w:id="0">
    <w:p w:rsidR="00586F13" w:rsidRDefault="00586F13" w:rsidP="00043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F13" w:rsidRDefault="00586F13" w:rsidP="00043858">
      <w:r>
        <w:separator/>
      </w:r>
    </w:p>
  </w:footnote>
  <w:footnote w:type="continuationSeparator" w:id="0">
    <w:p w:rsidR="00586F13" w:rsidRDefault="00586F13" w:rsidP="000438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D4DD80"/>
    <w:multiLevelType w:val="singleLevel"/>
    <w:tmpl w:val="B3D4DD80"/>
    <w:lvl w:ilvl="0">
      <w:start w:val="2"/>
      <w:numFmt w:val="decimal"/>
      <w:suff w:val="nothing"/>
      <w:lvlText w:val="（%1）"/>
      <w:lvlJc w:val="left"/>
    </w:lvl>
  </w:abstractNum>
  <w:abstractNum w:abstractNumId="1" w15:restartNumberingAfterBreak="0">
    <w:nsid w:val="CD3FAF6A"/>
    <w:multiLevelType w:val="singleLevel"/>
    <w:tmpl w:val="CD3FAF6A"/>
    <w:lvl w:ilvl="0">
      <w:start w:val="2"/>
      <w:numFmt w:val="decimal"/>
      <w:suff w:val="nothing"/>
      <w:lvlText w:val="%1、"/>
      <w:lvlJc w:val="left"/>
    </w:lvl>
  </w:abstractNum>
  <w:abstractNum w:abstractNumId="2" w15:restartNumberingAfterBreak="0">
    <w:nsid w:val="5CB3CD41"/>
    <w:multiLevelType w:val="singleLevel"/>
    <w:tmpl w:val="5CB3CD41"/>
    <w:lvl w:ilvl="0">
      <w:start w:val="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2A2"/>
    <w:rsid w:val="00043858"/>
    <w:rsid w:val="000C7B47"/>
    <w:rsid w:val="000E1A93"/>
    <w:rsid w:val="001A1E4B"/>
    <w:rsid w:val="0022334C"/>
    <w:rsid w:val="00330B3A"/>
    <w:rsid w:val="003C75F8"/>
    <w:rsid w:val="00586F13"/>
    <w:rsid w:val="005A4B27"/>
    <w:rsid w:val="0082696F"/>
    <w:rsid w:val="008612A2"/>
    <w:rsid w:val="009E4F7B"/>
    <w:rsid w:val="00AB4EDE"/>
    <w:rsid w:val="00B25C98"/>
    <w:rsid w:val="00E0327F"/>
    <w:rsid w:val="00E61180"/>
    <w:rsid w:val="00EA51B8"/>
    <w:rsid w:val="06B15101"/>
    <w:rsid w:val="0D912FB3"/>
    <w:rsid w:val="15421ADA"/>
    <w:rsid w:val="154256F5"/>
    <w:rsid w:val="18304A1E"/>
    <w:rsid w:val="1E861E34"/>
    <w:rsid w:val="1E9B7210"/>
    <w:rsid w:val="2548274A"/>
    <w:rsid w:val="25C05273"/>
    <w:rsid w:val="25CD7729"/>
    <w:rsid w:val="2E594B1E"/>
    <w:rsid w:val="33B32FE7"/>
    <w:rsid w:val="3CCB5E01"/>
    <w:rsid w:val="45003612"/>
    <w:rsid w:val="47964EC4"/>
    <w:rsid w:val="48784FCA"/>
    <w:rsid w:val="57D82D77"/>
    <w:rsid w:val="696D7D13"/>
    <w:rsid w:val="6BE56E46"/>
    <w:rsid w:val="75156B11"/>
    <w:rsid w:val="76503FF3"/>
    <w:rsid w:val="783B5524"/>
    <w:rsid w:val="7AD8463F"/>
    <w:rsid w:val="7BF93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48D72"/>
  <w15:docId w15:val="{F087CA80-DF19-48D6-8ED5-49F8F141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next w:val="a"/>
    <w:qFormat/>
    <w:pPr>
      <w:pBdr>
        <w:top w:val="none" w:sz="0" w:space="3" w:color="000000"/>
        <w:left w:val="none" w:sz="0" w:space="3" w:color="000000"/>
        <w:bottom w:val="none" w:sz="0" w:space="3" w:color="000000"/>
        <w:right w:val="none" w:sz="0" w:space="3" w:color="000000"/>
        <w:between w:val="none" w:sz="0" w:space="0" w:color="000000"/>
      </w:pBdr>
      <w:shd w:val="clear" w:color="020000" w:fill="auto"/>
      <w:ind w:left="840"/>
    </w:pPr>
    <w:rPr>
      <w:rFonts w:ascii="Calibri" w:eastAsia="Calibri" w:hAnsi="Calibri" w:cs="Calibri"/>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
    <w:qFormat/>
    <w:rPr>
      <w:rFonts w:ascii="Calibri" w:eastAsia="Calibri" w:hAnsi="Calibri" w:cs="Calibri"/>
    </w:rPr>
  </w:style>
  <w:style w:type="paragraph" w:styleId="TOC2">
    <w:name w:val="toc 2"/>
    <w:next w:val="a"/>
    <w:qFormat/>
    <w:pPr>
      <w:pBdr>
        <w:top w:val="none" w:sz="0" w:space="3" w:color="000000"/>
        <w:left w:val="none" w:sz="0" w:space="3" w:color="000000"/>
        <w:bottom w:val="none" w:sz="0" w:space="3" w:color="000000"/>
        <w:right w:val="none" w:sz="0" w:space="3" w:color="000000"/>
        <w:between w:val="none" w:sz="0" w:space="0" w:color="000000"/>
      </w:pBdr>
      <w:shd w:val="clear" w:color="020000" w:fill="auto"/>
      <w:ind w:left="420"/>
    </w:pPr>
    <w:rPr>
      <w:rFonts w:ascii="Calibri" w:eastAsia="Calibri" w:hAnsi="Calibri" w:cs="Calibri"/>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character" w:styleId="a8">
    <w:name w:val="Strong"/>
    <w:basedOn w:val="a0"/>
    <w:uiPriority w:val="22"/>
    <w:qFormat/>
    <w:rPr>
      <w:b/>
    </w:rPr>
  </w:style>
  <w:style w:type="table" w:styleId="a9">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
    <w:name w:val="GB-条文"/>
    <w:qFormat/>
    <w:pPr>
      <w:widowControl w:val="0"/>
      <w:adjustRightInd w:val="0"/>
      <w:snapToGrid w:val="0"/>
      <w:spacing w:line="360" w:lineRule="auto"/>
      <w:ind w:firstLineChars="200" w:firstLine="420"/>
      <w:jc w:val="both"/>
    </w:pPr>
    <w:rPr>
      <w:rFonts w:ascii="宋体" w:hAnsi="宋体"/>
      <w:sz w:val="21"/>
    </w:rPr>
  </w:style>
  <w:style w:type="paragraph" w:customStyle="1" w:styleId="aa">
    <w:name w:val="段"/>
    <w:link w:val="Char"/>
    <w:qFormat/>
    <w:pPr>
      <w:ind w:firstLine="200"/>
      <w:jc w:val="both"/>
    </w:pPr>
    <w:rPr>
      <w:rFonts w:ascii="宋体" w:hAnsi="宋体"/>
      <w:color w:val="000000"/>
      <w:sz w:val="21"/>
      <w:szCs w:val="22"/>
    </w:rPr>
  </w:style>
  <w:style w:type="paragraph" w:customStyle="1" w:styleId="TableParagraph">
    <w:name w:val="Table Paragraph"/>
    <w:basedOn w:val="a"/>
    <w:uiPriority w:val="1"/>
    <w:qFormat/>
    <w:pPr>
      <w:jc w:val="left"/>
    </w:pPr>
    <w:rPr>
      <w:kern w:val="0"/>
      <w:sz w:val="22"/>
      <w:lang w:eastAsia="en-US"/>
    </w:rPr>
  </w:style>
  <w:style w:type="character" w:customStyle="1" w:styleId="a6">
    <w:name w:val="页眉 字符"/>
    <w:basedOn w:val="a0"/>
    <w:link w:val="a5"/>
    <w:uiPriority w:val="99"/>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character" w:customStyle="1" w:styleId="Char">
    <w:name w:val="段 Char"/>
    <w:link w:val="aa"/>
    <w:qFormat/>
    <w:rsid w:val="00043858"/>
    <w:rPr>
      <w:rFonts w:ascii="宋体" w:hAnsi="宋体"/>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磊</dc:creator>
  <cp:lastModifiedBy>磊 王</cp:lastModifiedBy>
  <cp:revision>9</cp:revision>
  <dcterms:created xsi:type="dcterms:W3CDTF">2019-04-10T02:35:00Z</dcterms:created>
  <dcterms:modified xsi:type="dcterms:W3CDTF">2022-07-22T06:57:00Z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