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5"/>
        <w:rPr>
          <w:rFonts w:hAnsi="黑体" w:cs="黑体"/>
          <w:szCs w:val="20"/>
        </w:rPr>
      </w:pPr>
      <w:bookmarkStart w:id="0" w:name="_Toc530051741"/>
      <w:bookmarkStart w:id="1" w:name="_Toc509826185"/>
      <w:bookmarkStart w:id="2" w:name="_Toc873628"/>
      <w:bookmarkStart w:id="3" w:name="_Toc525046548"/>
      <w:bookmarkStart w:id="4" w:name="_Toc385602845"/>
      <w:bookmarkStart w:id="5" w:name="_Toc415043487"/>
      <w:bookmarkStart w:id="6" w:name="_Toc415043548"/>
      <w:bookmarkStart w:id="7" w:name="_Toc13964"/>
      <w:r>
        <w:rPr>
          <w:rFonts w:hint="eastAsia" w:hAnsi="黑体" w:cs="黑体"/>
          <w:szCs w:val="20"/>
        </w:rPr>
        <w:t>ICS  xxxx</w:t>
      </w:r>
    </w:p>
    <w:p>
      <w:pPr>
        <w:pStyle w:val="35"/>
        <w:rPr>
          <w:rFonts w:hAnsi="黑体" w:cs="黑体"/>
          <w:szCs w:val="20"/>
        </w:rPr>
      </w:pPr>
      <w:r>
        <w:rPr>
          <w:rFonts w:hint="eastAsia" w:hAnsi="黑体" w:cs="黑体"/>
          <w:szCs w:val="20"/>
        </w:rPr>
        <w:t>CCS  xxxx</w:t>
      </w:r>
    </w:p>
    <w:p>
      <w:pPr>
        <w:pStyle w:val="35"/>
        <w:rPr>
          <w:rFonts w:hAnsi="黑体" w:cs="黑体"/>
          <w:szCs w:val="20"/>
        </w:rPr>
      </w:pPr>
    </w:p>
    <w:p>
      <w:pPr>
        <w:rPr>
          <w:rFonts w:ascii="黑体" w:hAnsi="黑体" w:eastAsia="黑体" w:cs="黑体"/>
          <w:sz w:val="18"/>
          <w:szCs w:val="18"/>
        </w:rPr>
      </w:pPr>
    </w:p>
    <w:p>
      <w:pPr>
        <w:snapToGrid w:val="0"/>
        <w:spacing w:after="57"/>
        <w:jc w:val="center"/>
        <w:rPr>
          <w:rFonts w:ascii="黑体" w:hAnsi="黑体" w:eastAsia="黑体" w:cs="黑体"/>
          <w:sz w:val="72"/>
          <w:szCs w:val="72"/>
        </w:rPr>
      </w:pPr>
      <w:r>
        <w:rPr>
          <w:rFonts w:hint="eastAsia" w:ascii="黑体" w:hAnsi="黑体" w:eastAsia="黑体" w:cs="黑体"/>
          <w:sz w:val="72"/>
          <w:szCs w:val="72"/>
        </w:rPr>
        <w:t>团     体     标     准</w:t>
      </w:r>
    </w:p>
    <w:p>
      <w:pPr>
        <w:pStyle w:val="33"/>
        <w:spacing w:line="360" w:lineRule="exact"/>
        <w:ind w:firstLine="0" w:firstLineChars="0"/>
        <w:jc w:val="right"/>
        <w:rPr>
          <w:rFonts w:ascii="Times New Roman" w:hAnsi="Times New Roman" w:eastAsia="黑体" w:cs="Times New Roman"/>
          <w:kern w:val="0"/>
          <w:sz w:val="28"/>
          <w:szCs w:val="20"/>
        </w:rPr>
      </w:pPr>
      <w:r>
        <w:rPr>
          <w:rFonts w:ascii="Times New Roman" w:hAnsi="Times New Roman" w:eastAsia="黑体" w:cs="Times New Roman"/>
          <w:kern w:val="0"/>
          <w:sz w:val="28"/>
          <w:szCs w:val="20"/>
        </w:rPr>
        <w:t>T/</w:t>
      </w:r>
      <w:r>
        <w:rPr>
          <w:rFonts w:hint="eastAsia" w:ascii="Times New Roman" w:hAnsi="Times New Roman" w:eastAsia="黑体" w:cs="Times New Roman"/>
          <w:kern w:val="0"/>
          <w:sz w:val="28"/>
          <w:szCs w:val="20"/>
        </w:rPr>
        <w:t>XXXX</w:t>
      </w:r>
      <w:r>
        <w:rPr>
          <w:rFonts w:ascii="Times New Roman" w:hAnsi="Times New Roman" w:eastAsia="黑体" w:cs="Times New Roman"/>
          <w:kern w:val="0"/>
          <w:sz w:val="28"/>
          <w:szCs w:val="20"/>
        </w:rPr>
        <w:t xml:space="preserve"> </w:t>
      </w:r>
      <w:r>
        <w:rPr>
          <w:rFonts w:hint="eastAsia" w:ascii="Times New Roman" w:hAnsi="Times New Roman" w:eastAsia="黑体" w:cs="Times New Roman"/>
          <w:kern w:val="0"/>
          <w:sz w:val="28"/>
          <w:szCs w:val="20"/>
        </w:rPr>
        <w:t>XXXX—XXXX</w:t>
      </w:r>
    </w:p>
    <w:p>
      <w:pPr>
        <w:pStyle w:val="33"/>
        <w:ind w:right="-2" w:firstLine="0" w:firstLineChars="0"/>
        <w:jc w:val="right"/>
        <w:rPr>
          <w:rFonts w:ascii="黑体" w:hAnsi="黑体" w:eastAsia="黑体" w:cs="黑体"/>
          <w:b/>
          <w:sz w:val="24"/>
          <w:szCs w:val="24"/>
        </w:rPr>
      </w:pPr>
      <w:r>
        <w:rPr>
          <w:rFonts w:hint="eastAsia" w:ascii="黑体" w:hAnsi="黑体" w:eastAsia="黑体" w:cs="黑体"/>
        </w:rPr>
        <mc:AlternateContent>
          <mc:Choice Requires="wps">
            <w:drawing>
              <wp:anchor distT="0" distB="0" distL="114300" distR="114300" simplePos="0" relativeHeight="251660288" behindDoc="0" locked="0" layoutInCell="1" allowOverlap="1">
                <wp:simplePos x="0" y="0"/>
                <wp:positionH relativeFrom="column">
                  <wp:posOffset>17145</wp:posOffset>
                </wp:positionH>
                <wp:positionV relativeFrom="paragraph">
                  <wp:posOffset>32385</wp:posOffset>
                </wp:positionV>
                <wp:extent cx="6120130" cy="0"/>
                <wp:effectExtent l="0" t="6350" r="4445" b="7620"/>
                <wp:wrapNone/>
                <wp:docPr id="24" name="直接连接符 22"/>
                <wp:cNvGraphicFramePr/>
                <a:graphic xmlns:a="http://schemas.openxmlformats.org/drawingml/2006/main">
                  <a:graphicData uri="http://schemas.microsoft.com/office/word/2010/wordprocessingShape">
                    <wps:wsp>
                      <wps:cNvCnPr>
                        <a:cxnSpLocks noChangeShapeType="1"/>
                      </wps:cNvCnPr>
                      <wps:spPr bwMode="auto">
                        <a:xfrm>
                          <a:off x="0" y="0"/>
                          <a:ext cx="6120130" cy="0"/>
                        </a:xfrm>
                        <a:prstGeom prst="line">
                          <a:avLst/>
                        </a:prstGeom>
                        <a:noFill/>
                        <a:ln w="12700">
                          <a:solidFill>
                            <a:srgbClr val="080000"/>
                          </a:solidFill>
                          <a:round/>
                        </a:ln>
                      </wps:spPr>
                      <wps:bodyPr/>
                    </wps:wsp>
                  </a:graphicData>
                </a:graphic>
              </wp:anchor>
            </w:drawing>
          </mc:Choice>
          <mc:Fallback>
            <w:pict>
              <v:line id="直接连接符 22" o:spid="_x0000_s1026" o:spt="20" style="position:absolute;left:0pt;margin-left:1.35pt;margin-top:2.55pt;height:0pt;width:481.9pt;z-index:251660288;mso-width-relative:page;mso-height-relative:page;" filled="f" stroked="t" coordsize="21600,21600" o:gfxdata="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">
                <v:fill on="f" focussize="0,0"/>
                <v:stroke weight="1pt" color="#080000" joinstyle="round"/>
                <v:imagedata o:title=""/>
                <o:lock v:ext="edit" aspectratio="f"/>
              </v:line>
            </w:pict>
          </mc:Fallback>
        </mc:AlternateContent>
      </w:r>
    </w:p>
    <w:p>
      <w:pPr>
        <w:pStyle w:val="33"/>
        <w:ind w:firstLine="0" w:firstLineChars="0"/>
        <w:rPr>
          <w:rFonts w:ascii="黑体" w:hAnsi="黑体" w:eastAsia="黑体" w:cs="黑体"/>
          <w:b/>
          <w:spacing w:val="40"/>
          <w:kern w:val="0"/>
          <w:sz w:val="52"/>
          <w:szCs w:val="52"/>
        </w:rPr>
      </w:pPr>
    </w:p>
    <w:p>
      <w:pPr>
        <w:pStyle w:val="33"/>
        <w:ind w:firstLine="548" w:firstLineChars="100"/>
        <w:jc w:val="center"/>
        <w:rPr>
          <w:rFonts w:ascii="黑体" w:hAnsi="黑体" w:eastAsia="黑体" w:cs="黑体"/>
          <w:bCs/>
          <w:spacing w:val="40"/>
          <w:w w:val="90"/>
          <w:kern w:val="0"/>
          <w:sz w:val="52"/>
          <w:szCs w:val="52"/>
        </w:rPr>
      </w:pPr>
      <w:r>
        <w:rPr>
          <w:rFonts w:hint="eastAsia" w:ascii="黑体" w:hAnsi="黑体" w:eastAsia="黑体" w:cs="黑体"/>
          <w:bCs/>
          <w:spacing w:val="40"/>
          <w:w w:val="90"/>
          <w:kern w:val="0"/>
          <w:sz w:val="52"/>
          <w:szCs w:val="52"/>
        </w:rPr>
        <w:t>质量分级及“领跑者”评价要求  家居用缓冲型抽屉导轨</w:t>
      </w:r>
    </w:p>
    <w:p>
      <w:pPr>
        <w:spacing w:before="156" w:beforeLines="50" w:line="360" w:lineRule="exact"/>
        <w:jc w:val="center"/>
        <w:rPr>
          <w:rFonts w:ascii="黑体" w:hAnsi="黑体" w:eastAsia="黑体" w:cs="黑体"/>
          <w:kern w:val="0"/>
          <w:sz w:val="28"/>
          <w:szCs w:val="28"/>
          <w:shd w:val="clear" w:color="auto" w:fill="FFFFFF"/>
        </w:rPr>
      </w:pPr>
      <w:r>
        <w:rPr>
          <w:rFonts w:hint="eastAsia" w:ascii="黑体" w:hAnsi="黑体" w:eastAsia="黑体" w:cs="黑体"/>
          <w:kern w:val="0"/>
          <w:sz w:val="28"/>
          <w:szCs w:val="28"/>
        </w:rPr>
        <w:t xml:space="preserve"> </w:t>
      </w:r>
      <w:r>
        <w:rPr>
          <w:rFonts w:ascii="Times New Roman" w:hAnsi="Times New Roman" w:eastAsia="黑体" w:cs="Times New Roman"/>
          <w:kern w:val="0"/>
          <w:sz w:val="28"/>
          <w:szCs w:val="28"/>
        </w:rPr>
        <w:t xml:space="preserve"> </w:t>
      </w:r>
      <w:r>
        <w:rPr>
          <w:rFonts w:hint="eastAsia" w:ascii="黑体" w:hAnsi="黑体" w:eastAsia="黑体" w:cs="黑体"/>
          <w:kern w:val="0"/>
          <w:sz w:val="28"/>
          <w:szCs w:val="28"/>
        </w:rPr>
        <w:t xml:space="preserve">   </w:t>
      </w:r>
      <w:r>
        <w:rPr>
          <w:rFonts w:hint="eastAsia" w:ascii="黑体" w:hAnsi="黑体" w:eastAsia="黑体" w:cs="黑体"/>
          <w:sz w:val="28"/>
          <w:szCs w:val="28"/>
        </w:rPr>
        <w:t>Assessment requirements for quality grading and forerunner</w:t>
      </w:r>
      <w:r>
        <w:rPr>
          <w:rFonts w:hint="eastAsia" w:ascii="黑体" w:hAnsi="黑体" w:eastAsia="黑体" w:cs="黑体"/>
          <w:kern w:val="0"/>
          <w:sz w:val="28"/>
          <w:szCs w:val="28"/>
        </w:rPr>
        <w:t xml:space="preserve"> — </w:t>
      </w:r>
      <w:r>
        <w:rPr>
          <w:rFonts w:ascii="黑体" w:hAnsi="黑体" w:eastAsia="黑体" w:cs="黑体"/>
          <w:kern w:val="0"/>
          <w:sz w:val="28"/>
          <w:szCs w:val="28"/>
          <w:shd w:val="clear" w:color="auto" w:fill="FFFFFF"/>
        </w:rPr>
        <w:t>Drawer guide rail for home use</w:t>
      </w:r>
    </w:p>
    <w:p>
      <w:pPr>
        <w:pStyle w:val="33"/>
        <w:ind w:firstLine="0" w:firstLineChars="0"/>
        <w:rPr>
          <w:rFonts w:ascii="黑体" w:hAnsi="黑体" w:eastAsia="黑体" w:cs="黑体"/>
          <w:kern w:val="0"/>
          <w:sz w:val="36"/>
          <w:szCs w:val="20"/>
        </w:rPr>
      </w:pPr>
    </w:p>
    <w:p>
      <w:pPr>
        <w:pStyle w:val="33"/>
        <w:ind w:firstLine="0" w:firstLineChars="0"/>
        <w:rPr>
          <w:rFonts w:ascii="黑体" w:hAnsi="黑体" w:eastAsia="黑体" w:cs="黑体"/>
          <w:sz w:val="18"/>
          <w:szCs w:val="18"/>
        </w:rPr>
      </w:pPr>
    </w:p>
    <w:p>
      <w:pPr>
        <w:pStyle w:val="33"/>
        <w:ind w:firstLine="0" w:firstLineChars="0"/>
        <w:rPr>
          <w:rFonts w:ascii="黑体" w:hAnsi="黑体" w:eastAsia="黑体" w:cs="黑体"/>
          <w:sz w:val="18"/>
          <w:szCs w:val="18"/>
        </w:rPr>
      </w:pPr>
    </w:p>
    <w:p>
      <w:pPr>
        <w:pStyle w:val="33"/>
        <w:ind w:firstLine="0" w:firstLineChars="0"/>
        <w:rPr>
          <w:rFonts w:ascii="黑体" w:hAnsi="黑体" w:eastAsia="黑体" w:cs="黑体"/>
          <w:sz w:val="18"/>
          <w:szCs w:val="18"/>
        </w:rPr>
      </w:pPr>
    </w:p>
    <w:p>
      <w:pPr>
        <w:pStyle w:val="33"/>
        <w:ind w:firstLine="0" w:firstLineChars="0"/>
        <w:rPr>
          <w:rFonts w:ascii="黑体" w:hAnsi="黑体" w:eastAsia="黑体" w:cs="黑体"/>
          <w:sz w:val="18"/>
          <w:szCs w:val="18"/>
        </w:rPr>
      </w:pPr>
    </w:p>
    <w:p>
      <w:pPr>
        <w:pStyle w:val="83"/>
        <w:framePr w:w="2854" w:h="1340" w:hRule="exact" w:vAnchor="page" w:hAnchor="page" w:x="4742" w:y="15103"/>
        <w:spacing w:line="580" w:lineRule="exact"/>
        <w:rPr>
          <w:rFonts w:ascii="黑体" w:hAnsi="黑体" w:eastAsia="黑体" w:cs="黑体"/>
          <w:bCs/>
          <w:spacing w:val="0"/>
          <w:w w:val="100"/>
          <w:sz w:val="28"/>
          <w:szCs w:val="28"/>
        </w:rPr>
      </w:pPr>
      <w:bookmarkStart w:id="8" w:name="_Hlk131520131"/>
      <w:r>
        <w:rPr>
          <w:rFonts w:hint="eastAsia" w:ascii="黑体" w:hAnsi="黑体" w:eastAsia="黑体" w:cs="黑体"/>
          <w:bCs/>
          <w:spacing w:val="0"/>
          <w:w w:val="100"/>
          <w:sz w:val="28"/>
          <w:szCs w:val="28"/>
        </w:rPr>
        <w:t>中国五金制品协会</w:t>
      </w:r>
    </w:p>
    <w:bookmarkEnd w:id="0"/>
    <w:bookmarkEnd w:id="1"/>
    <w:bookmarkEnd w:id="2"/>
    <w:bookmarkEnd w:id="3"/>
    <w:bookmarkEnd w:id="8"/>
    <w:p>
      <w:pPr>
        <w:rPr>
          <w:rFonts w:hint="eastAsia" w:ascii="宋体"/>
          <w:szCs w:val="21"/>
        </w:rPr>
      </w:pPr>
      <w:bookmarkStart w:id="9" w:name="_Toc65687976"/>
      <w:bookmarkStart w:id="10" w:name="_Toc415043894"/>
    </w:p>
    <w:p>
      <w:pPr>
        <w:rPr>
          <w:rFonts w:ascii="宋体"/>
          <w:szCs w:val="21"/>
        </w:rPr>
      </w:pPr>
    </w:p>
    <w:p>
      <w:pPr>
        <w:rPr>
          <w:rFonts w:ascii="宋体"/>
          <w:szCs w:val="21"/>
        </w:rPr>
      </w:pPr>
    </w:p>
    <w:p>
      <w:pPr>
        <w:rPr>
          <w:rFonts w:hint="eastAsia"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r>
        <w:rPr>
          <w:rFonts w:hint="eastAsia" w:ascii="宋体"/>
          <w:szCs w:val="21"/>
        </w:rPr>
        <w:br w:type="textWrapping"/>
      </w:r>
    </w:p>
    <w:p>
      <w:pPr>
        <w:rPr>
          <w:rFonts w:ascii="宋体"/>
          <w:szCs w:val="21"/>
        </w:rPr>
      </w:pPr>
    </w:p>
    <w:p>
      <w:pPr>
        <w:ind w:left="-424" w:leftChars="-202" w:firstLine="423" w:firstLineChars="153"/>
        <w:jc w:val="left"/>
        <w:rPr>
          <w:rFonts w:ascii="黑体" w:hAnsi="微软雅黑" w:eastAsia="黑体"/>
          <w:sz w:val="28"/>
          <w:szCs w:val="28"/>
        </w:rPr>
      </w:pPr>
      <w:r>
        <w:rPr>
          <w:rFonts w:hint="eastAsia" w:ascii="黑体" w:hAnsi="黑体" w:eastAsia="黑体"/>
          <w:w w:val="99"/>
          <w:sz w:val="28"/>
          <w:szCs w:val="28"/>
        </w:rPr>
        <w:t xml:space="preserve">                             </w:t>
      </w:r>
    </w:p>
    <w:p>
      <w:pPr>
        <w:pStyle w:val="83"/>
        <w:framePr w:w="954" w:h="654" w:hRule="exact" w:vAnchor="page" w:hAnchor="page" w:x="7642" w:y="15056"/>
        <w:spacing w:line="580" w:lineRule="exact"/>
        <w:rPr>
          <w:rFonts w:ascii="黑体" w:hAnsi="黑体" w:eastAsia="黑体" w:cs="黑体"/>
          <w:bCs/>
          <w:spacing w:val="0"/>
          <w:w w:val="100"/>
          <w:sz w:val="28"/>
          <w:szCs w:val="28"/>
        </w:rPr>
      </w:pPr>
      <w:r>
        <w:rPr>
          <w:rFonts w:hint="eastAsia" w:ascii="黑体" w:hAnsi="黑体" w:eastAsia="黑体" w:cs="黑体"/>
          <w:bCs/>
          <w:spacing w:val="0"/>
          <w:w w:val="100"/>
          <w:sz w:val="28"/>
          <w:szCs w:val="28"/>
        </w:rPr>
        <w:t>发布</w:t>
      </w:r>
    </w:p>
    <w:p>
      <w:pPr>
        <w:rPr>
          <w:rFonts w:ascii="宋体"/>
          <w:szCs w:val="21"/>
        </w:rPr>
      </w:pPr>
      <w:r>
        <w:rPr>
          <w:rFonts w:ascii="宋体"/>
          <w:szCs w:val="21"/>
        </w:rPr>
        <mc:AlternateContent>
          <mc:Choice Requires="wps">
            <w:drawing>
              <wp:anchor distT="45720" distB="45720" distL="114300" distR="114300" simplePos="0" relativeHeight="251664384" behindDoc="0" locked="0" layoutInCell="1" allowOverlap="1">
                <wp:simplePos x="0" y="0"/>
                <wp:positionH relativeFrom="column">
                  <wp:posOffset>4715510</wp:posOffset>
                </wp:positionH>
                <wp:positionV relativeFrom="paragraph">
                  <wp:posOffset>19685</wp:posOffset>
                </wp:positionV>
                <wp:extent cx="1930400" cy="393700"/>
                <wp:effectExtent l="0" t="0" r="12700" b="25400"/>
                <wp:wrapSquare wrapText="bothSides"/>
                <wp:docPr id="14" name="文本框 2"/>
                <wp:cNvGraphicFramePr/>
                <a:graphic xmlns:a="http://schemas.openxmlformats.org/drawingml/2006/main">
                  <a:graphicData uri="http://schemas.microsoft.com/office/word/2010/wordprocessingShape">
                    <wps:wsp>
                      <wps:cNvSpPr txBox="1">
                        <a:spLocks noChangeArrowheads="1"/>
                      </wps:cNvSpPr>
                      <wps:spPr bwMode="auto">
                        <a:xfrm>
                          <a:off x="0" y="0"/>
                          <a:ext cx="1930400" cy="393700"/>
                        </a:xfrm>
                        <a:prstGeom prst="rect">
                          <a:avLst/>
                        </a:prstGeom>
                        <a:solidFill>
                          <a:schemeClr val="bg1"/>
                        </a:solidFill>
                        <a:ln w="9525">
                          <a:solidFill>
                            <a:schemeClr val="bg1"/>
                          </a:solidFill>
                          <a:miter lim="800000"/>
                        </a:ln>
                      </wps:spPr>
                      <wps:txbx>
                        <w:txbxContent>
                          <w:p>
                            <w:r>
                              <w:rPr>
                                <w:rFonts w:hint="eastAsia" w:ascii="黑体" w:hAnsi="微软雅黑" w:eastAsia="黑体"/>
                                <w:w w:val="99"/>
                                <w:sz w:val="28"/>
                                <w:szCs w:val="28"/>
                              </w:rPr>
                              <w:t>202</w:t>
                            </w:r>
                            <w:r>
                              <w:rPr>
                                <w:rFonts w:ascii="黑体" w:hAnsi="微软雅黑" w:eastAsia="黑体"/>
                                <w:w w:val="99"/>
                                <w:sz w:val="28"/>
                                <w:szCs w:val="28"/>
                              </w:rPr>
                              <w:t>3</w:t>
                            </w:r>
                            <w:r>
                              <w:rPr>
                                <w:rFonts w:hint="eastAsia" w:ascii="黑体" w:hAnsi="微软雅黑" w:eastAsia="黑体"/>
                                <w:w w:val="99"/>
                                <w:sz w:val="28"/>
                                <w:szCs w:val="28"/>
                              </w:rPr>
                              <w:t xml:space="preserve">-XX-XX </w:t>
                            </w:r>
                            <w:r>
                              <w:rPr>
                                <w:rFonts w:hint="eastAsia" w:ascii="黑体" w:hAnsi="黑体" w:eastAsia="黑体"/>
                                <w:w w:val="99"/>
                                <w:sz w:val="28"/>
                                <w:szCs w:val="28"/>
                              </w:rPr>
                              <w:t>实施</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371.3pt;margin-top:1.55pt;height:31pt;width:152pt;mso-wrap-distance-bottom:3.6pt;mso-wrap-distance-left:9pt;mso-wrap-distance-right:9pt;mso-wrap-distance-top:3.6pt;z-index:251664384;mso-width-relative:page;mso-height-relative:page;" fillcolor="#FFFFFF [3212]" filled="t" stroked="t" coordsize="21600,21600" o:gfxdata="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GE2rVvXAAAACQEAAA8A&#10;AAAAAAAAAQAgAAAAIgAAAGRycy9kb3ducmV2LnhtbFBLAQIUABQAAAAIAIdO4kBZDuwFGAIAAC4E&#10;AAAOAAAAAAAAAAEAIAAAACYBAABkcnMvZTJvRG9jLnhtbFBLBQYAAAAABgAGAFkBAACwBQAAAAA=&#10;">
                <v:fill on="t" focussize="0,0"/>
                <v:stroke color="#FFFFFF [3212]" miterlimit="8" joinstyle="miter"/>
                <v:imagedata o:title=""/>
                <o:lock v:ext="edit" aspectratio="f"/>
                <v:textbox>
                  <w:txbxContent>
                    <w:p>
                      <w:r>
                        <w:rPr>
                          <w:rFonts w:hint="eastAsia" w:ascii="黑体" w:hAnsi="微软雅黑" w:eastAsia="黑体"/>
                          <w:w w:val="99"/>
                          <w:sz w:val="28"/>
                          <w:szCs w:val="28"/>
                        </w:rPr>
                        <w:t>202</w:t>
                      </w:r>
                      <w:r>
                        <w:rPr>
                          <w:rFonts w:ascii="黑体" w:hAnsi="微软雅黑" w:eastAsia="黑体"/>
                          <w:w w:val="99"/>
                          <w:sz w:val="28"/>
                          <w:szCs w:val="28"/>
                        </w:rPr>
                        <w:t>3</w:t>
                      </w:r>
                      <w:r>
                        <w:rPr>
                          <w:rFonts w:hint="eastAsia" w:ascii="黑体" w:hAnsi="微软雅黑" w:eastAsia="黑体"/>
                          <w:w w:val="99"/>
                          <w:sz w:val="28"/>
                          <w:szCs w:val="28"/>
                        </w:rPr>
                        <w:t xml:space="preserve">-XX-XX </w:t>
                      </w:r>
                      <w:r>
                        <w:rPr>
                          <w:rFonts w:hint="eastAsia" w:ascii="黑体" w:hAnsi="黑体" w:eastAsia="黑体"/>
                          <w:w w:val="99"/>
                          <w:sz w:val="28"/>
                          <w:szCs w:val="28"/>
                        </w:rPr>
                        <w:t>实施</w:t>
                      </w:r>
                    </w:p>
                  </w:txbxContent>
                </v:textbox>
                <w10:wrap type="square"/>
              </v:shape>
            </w:pict>
          </mc:Fallback>
        </mc:AlternateContent>
      </w:r>
      <w:r>
        <w:rPr>
          <w:rFonts w:ascii="宋体"/>
          <w:szCs w:val="21"/>
        </w:rPr>
        <mc:AlternateContent>
          <mc:Choice Requires="wps">
            <w:drawing>
              <wp:anchor distT="45720" distB="45720" distL="114300" distR="114300" simplePos="0" relativeHeight="251663360" behindDoc="0" locked="0" layoutInCell="1" allowOverlap="1">
                <wp:simplePos x="0" y="0"/>
                <wp:positionH relativeFrom="column">
                  <wp:posOffset>-53340</wp:posOffset>
                </wp:positionH>
                <wp:positionV relativeFrom="paragraph">
                  <wp:posOffset>32385</wp:posOffset>
                </wp:positionV>
                <wp:extent cx="2273300" cy="381000"/>
                <wp:effectExtent l="0" t="0" r="12700" b="19050"/>
                <wp:wrapSquare wrapText="bothSides"/>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2273300" cy="381000"/>
                        </a:xfrm>
                        <a:prstGeom prst="rect">
                          <a:avLst/>
                        </a:prstGeom>
                        <a:solidFill>
                          <a:schemeClr val="bg1"/>
                        </a:solidFill>
                        <a:ln w="9525">
                          <a:solidFill>
                            <a:schemeClr val="bg1"/>
                          </a:solidFill>
                          <a:miter lim="800000"/>
                        </a:ln>
                      </wps:spPr>
                      <wps:txbx>
                        <w:txbxContent>
                          <w:p>
                            <w:r>
                              <w:rPr>
                                <w:rFonts w:hint="eastAsia" w:ascii="黑体" w:hAnsi="微软雅黑" w:eastAsia="黑体"/>
                                <w:w w:val="99"/>
                                <w:sz w:val="28"/>
                                <w:szCs w:val="28"/>
                              </w:rPr>
                              <w:t>202</w:t>
                            </w:r>
                            <w:r>
                              <w:rPr>
                                <w:rFonts w:ascii="黑体" w:hAnsi="微软雅黑" w:eastAsia="黑体"/>
                                <w:w w:val="99"/>
                                <w:sz w:val="28"/>
                                <w:szCs w:val="28"/>
                              </w:rPr>
                              <w:t>3</w:t>
                            </w:r>
                            <w:r>
                              <w:rPr>
                                <w:rFonts w:hint="eastAsia" w:ascii="黑体" w:hAnsi="微软雅黑" w:eastAsia="黑体"/>
                                <w:w w:val="99"/>
                                <w:sz w:val="28"/>
                                <w:szCs w:val="28"/>
                              </w:rPr>
                              <w:t xml:space="preserve">-XX-XX </w:t>
                            </w:r>
                            <w:r>
                              <w:rPr>
                                <w:rFonts w:hint="eastAsia" w:ascii="黑体" w:hAnsi="黑体" w:eastAsia="黑体"/>
                                <w:w w:val="99"/>
                                <w:sz w:val="28"/>
                                <w:szCs w:val="28"/>
                              </w:rPr>
                              <w:t>发布</w:t>
                            </w:r>
                          </w:p>
                        </w:txbxContent>
                      </wps:txbx>
                      <wps:bodyPr rot="0" vert="horz" wrap="square" lIns="91440" tIns="45720" rIns="91440" bIns="45720" anchor="t" anchorCtr="0">
                        <a:noAutofit/>
                      </wps:bodyPr>
                    </wps:wsp>
                  </a:graphicData>
                </a:graphic>
              </wp:anchor>
            </w:drawing>
          </mc:Choice>
          <mc:Fallback>
            <w:pict>
              <v:shape id="文本框 2" o:spid="_x0000_s1026" o:spt="202" type="#_x0000_t202" style="position:absolute;left:0pt;margin-left:-4.2pt;margin-top:2.55pt;height:30pt;width:179pt;mso-wrap-distance-bottom:3.6pt;mso-wrap-distance-left:9pt;mso-wrap-distance-right:9pt;mso-wrap-distance-top:3.6pt;z-index:251663360;mso-width-relative:page;mso-height-relative:page;" fillcolor="#FFFFFF [3212]" filled="t" stroked="t" coordsize="21600,21600" o:gfxdata="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">
                <v:fill on="t" focussize="0,0"/>
                <v:stroke color="#FFFFFF [3212]" miterlimit="8" joinstyle="miter"/>
                <v:imagedata o:title=""/>
                <o:lock v:ext="edit" aspectratio="f"/>
                <v:textbox>
                  <w:txbxContent>
                    <w:p>
                      <w:r>
                        <w:rPr>
                          <w:rFonts w:hint="eastAsia" w:ascii="黑体" w:hAnsi="微软雅黑" w:eastAsia="黑体"/>
                          <w:w w:val="99"/>
                          <w:sz w:val="28"/>
                          <w:szCs w:val="28"/>
                        </w:rPr>
                        <w:t>202</w:t>
                      </w:r>
                      <w:r>
                        <w:rPr>
                          <w:rFonts w:ascii="黑体" w:hAnsi="微软雅黑" w:eastAsia="黑体"/>
                          <w:w w:val="99"/>
                          <w:sz w:val="28"/>
                          <w:szCs w:val="28"/>
                        </w:rPr>
                        <w:t>3</w:t>
                      </w:r>
                      <w:r>
                        <w:rPr>
                          <w:rFonts w:hint="eastAsia" w:ascii="黑体" w:hAnsi="微软雅黑" w:eastAsia="黑体"/>
                          <w:w w:val="99"/>
                          <w:sz w:val="28"/>
                          <w:szCs w:val="28"/>
                        </w:rPr>
                        <w:t xml:space="preserve">-XX-XX </w:t>
                      </w:r>
                      <w:r>
                        <w:rPr>
                          <w:rFonts w:hint="eastAsia" w:ascii="黑体" w:hAnsi="黑体" w:eastAsia="黑体"/>
                          <w:w w:val="99"/>
                          <w:sz w:val="28"/>
                          <w:szCs w:val="28"/>
                        </w:rPr>
                        <w:t>发布</w:t>
                      </w:r>
                    </w:p>
                  </w:txbxContent>
                </v:textbox>
                <w10:wrap type="square"/>
              </v:shape>
            </w:pict>
          </mc:Fallback>
        </mc:AlternateContent>
      </w:r>
    </w:p>
    <w:p>
      <w:pPr>
        <w:rPr>
          <w:rFonts w:ascii="宋体"/>
          <w:szCs w:val="21"/>
        </w:rPr>
      </w:pPr>
    </w:p>
    <w:p>
      <w:pPr>
        <w:rPr>
          <w:rFonts w:ascii="宋体"/>
          <w:szCs w:val="21"/>
        </w:rPr>
      </w:pPr>
      <w:r>
        <w:rPr>
          <w:rFonts w:hint="eastAsia" w:ascii="黑体" w:hAnsi="黑体" w:eastAsia="黑体" w:cs="黑体"/>
          <w:sz w:val="28"/>
          <w:szCs w:val="28"/>
        </w:rPr>
        <mc:AlternateContent>
          <mc:Choice Requires="wps">
            <w:drawing>
              <wp:anchor distT="0" distB="0" distL="114300" distR="114300" simplePos="0" relativeHeight="251662336" behindDoc="0" locked="0" layoutInCell="1" allowOverlap="1">
                <wp:simplePos x="0" y="0"/>
                <wp:positionH relativeFrom="column">
                  <wp:posOffset>66040</wp:posOffset>
                </wp:positionH>
                <wp:positionV relativeFrom="paragraph">
                  <wp:posOffset>43815</wp:posOffset>
                </wp:positionV>
                <wp:extent cx="6121400" cy="0"/>
                <wp:effectExtent l="0" t="6350" r="3175" b="7620"/>
                <wp:wrapNone/>
                <wp:docPr id="8" name="直接连接符 22"/>
                <wp:cNvGraphicFramePr/>
                <a:graphic xmlns:a="http://schemas.openxmlformats.org/drawingml/2006/main">
                  <a:graphicData uri="http://schemas.microsoft.com/office/word/2010/wordprocessingShape">
                    <wps:wsp>
                      <wps:cNvCnPr>
                        <a:cxnSpLocks noChangeShapeType="1"/>
                      </wps:cNvCnPr>
                      <wps:spPr bwMode="auto">
                        <a:xfrm>
                          <a:off x="0" y="0"/>
                          <a:ext cx="6121400" cy="0"/>
                        </a:xfrm>
                        <a:prstGeom prst="line">
                          <a:avLst/>
                        </a:prstGeom>
                        <a:noFill/>
                        <a:ln w="12700">
                          <a:solidFill>
                            <a:srgbClr val="080000"/>
                          </a:solidFill>
                          <a:round/>
                        </a:ln>
                      </wps:spPr>
                      <wps:bodyPr/>
                    </wps:wsp>
                  </a:graphicData>
                </a:graphic>
              </wp:anchor>
            </w:drawing>
          </mc:Choice>
          <mc:Fallback>
            <w:pict>
              <v:line id="直接连接符 22" o:spid="_x0000_s1026" o:spt="20" style="position:absolute;left:0pt;margin-left:5.2pt;margin-top:3.45pt;height:0pt;width:482pt;z-index:251662336;mso-width-relative:page;mso-height-relative:page;" filled="f" stroked="t" coordsize="21600,21600" o:gfxdata="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Ntc+q9MAAAAGAQAADwAAAAAAAAABACAAAAAiAAAAZHJzL2Rvd25yZXYu&#10;eG1sUEsBAhQAFAAAAAgAh07iQKx8io/HAQAAXgMAAA4AAAAAAAAAAQAgAAAAIgEAAGRycy9lMm9E&#10;b2MueG1sUEsFBgAAAAAGAAYAWQEAAFsFAAAAAA==&#10;">
                <v:fill on="f" focussize="0,0"/>
                <v:stroke weight="1pt" color="#080000" joinstyle="round"/>
                <v:imagedata o:title=""/>
                <o:lock v:ext="edit" aspectratio="f"/>
              </v:line>
            </w:pict>
          </mc:Fallback>
        </mc:AlternateContent>
      </w:r>
    </w:p>
    <w:p>
      <w:pPr>
        <w:rPr>
          <w:rFonts w:ascii="宋体"/>
          <w:szCs w:val="21"/>
        </w:rPr>
      </w:pPr>
    </w:p>
    <w:p>
      <w:pPr>
        <w:rPr>
          <w:rFonts w:ascii="宋体"/>
          <w:szCs w:val="21"/>
        </w:rPr>
        <w:sectPr>
          <w:headerReference r:id="rId3" w:type="default"/>
          <w:pgSz w:w="11906" w:h="16838"/>
          <w:pgMar w:top="1134" w:right="1134" w:bottom="1134" w:left="1134" w:header="907" w:footer="880" w:gutter="0"/>
          <w:pgNumType w:fmt="upperRoman" w:start="1"/>
          <w:cols w:space="720" w:num="1"/>
          <w:formProt w:val="0"/>
          <w:docGrid w:type="lines" w:linePitch="312" w:charSpace="0"/>
        </w:sect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p>
    <w:p>
      <w:pPr>
        <w:rPr>
          <w:rFonts w:ascii="宋体"/>
          <w:szCs w:val="21"/>
        </w:rPr>
      </w:pPr>
      <w:r>
        <w:rPr>
          <w:rFonts w:ascii="宋体"/>
          <w:szCs w:val="21"/>
        </w:rPr>
        <w:drawing>
          <wp:inline distT="0" distB="0" distL="114300" distR="114300">
            <wp:extent cx="808990" cy="765175"/>
            <wp:effectExtent l="0" t="0" r="635" b="635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8"/>
                    <a:stretch>
                      <a:fillRect/>
                    </a:stretch>
                  </pic:blipFill>
                  <pic:spPr>
                    <a:xfrm>
                      <a:off x="0" y="0"/>
                      <a:ext cx="808990" cy="765175"/>
                    </a:xfrm>
                    <a:prstGeom prst="rect">
                      <a:avLst/>
                    </a:prstGeom>
                    <a:noFill/>
                    <a:ln>
                      <a:noFill/>
                    </a:ln>
                  </pic:spPr>
                </pic:pic>
              </a:graphicData>
            </a:graphic>
          </wp:inline>
        </w:drawing>
      </w:r>
      <w:r>
        <w:rPr>
          <w:rFonts w:ascii="宋体"/>
          <w:szCs w:val="21"/>
        </w:rPr>
        <w:t xml:space="preserve"> </w:t>
      </w:r>
      <w:r>
        <w:rPr>
          <w:rFonts w:hint="eastAsia" w:ascii="宋体"/>
          <w:szCs w:val="21"/>
        </w:rPr>
        <w:t>版权保护文件</w:t>
      </w:r>
    </w:p>
    <w:p>
      <w:pPr>
        <w:spacing w:before="156" w:beforeLines="50" w:after="156" w:afterLines="50"/>
        <w:rPr>
          <w:rFonts w:ascii="宋体"/>
          <w:szCs w:val="21"/>
        </w:rPr>
      </w:pPr>
      <w:r>
        <w:rPr>
          <w:rFonts w:hint="eastAsia" w:ascii="宋体"/>
          <w:szCs w:val="21"/>
        </w:rPr>
        <w:t>版权所有归属于该标准的发布机构。除非有其他规定，否则未经许可，此发行物及其章节不得以其他形式或任何手段进行复制、再版或使用，包括电子版，影印件，或发布在互联网及内部网络等。使用许可请与发布机构获取。</w:t>
      </w:r>
    </w:p>
    <w:p>
      <w:pPr>
        <w:pStyle w:val="42"/>
      </w:pPr>
      <w:r>
        <w:rPr>
          <w:rFonts w:hint="eastAsia"/>
        </w:rPr>
        <w:t>前</w:t>
      </w:r>
      <w:bookmarkStart w:id="11" w:name="BKQY"/>
      <w:r>
        <w:rPr>
          <w:rFonts w:hint="eastAsia"/>
        </w:rPr>
        <w:t>  言</w:t>
      </w:r>
      <w:bookmarkEnd w:id="4"/>
      <w:bookmarkEnd w:id="5"/>
      <w:bookmarkEnd w:id="6"/>
      <w:bookmarkEnd w:id="7"/>
      <w:bookmarkEnd w:id="9"/>
      <w:bookmarkEnd w:id="10"/>
      <w:bookmarkEnd w:id="11"/>
    </w:p>
    <w:p>
      <w:pPr>
        <w:spacing w:line="276" w:lineRule="auto"/>
        <w:ind w:left="210" w:leftChars="100" w:firstLine="210" w:firstLineChars="100"/>
        <w:rPr>
          <w:rFonts w:ascii="宋体" w:hAnsi="宋体"/>
          <w:szCs w:val="21"/>
        </w:rPr>
      </w:pPr>
      <w:r>
        <w:rPr>
          <w:rFonts w:hint="eastAsia" w:ascii="宋体" w:hAnsi="宋体"/>
          <w:szCs w:val="21"/>
        </w:rPr>
        <w:t>本文件按照GB/T 1.1—2020《标准化工作导则  第1部分：标准化文件的结构和起草规则》和T/CAS 700—2023、</w:t>
      </w:r>
      <w:r>
        <w:rPr>
          <w:rFonts w:hint="eastAsia" w:ascii="宋体" w:hAnsi="宋体" w:cs="Arial"/>
          <w:szCs w:val="21"/>
        </w:rPr>
        <w:t>T/CSTE 0321</w:t>
      </w:r>
      <w:r>
        <w:rPr>
          <w:rFonts w:hint="eastAsia" w:ascii="宋体" w:hAnsi="宋体"/>
          <w:szCs w:val="21"/>
        </w:rPr>
        <w:t>—</w:t>
      </w:r>
      <w:r>
        <w:rPr>
          <w:rFonts w:hint="eastAsia" w:ascii="宋体" w:hAnsi="宋体" w:cs="Arial"/>
          <w:szCs w:val="21"/>
        </w:rPr>
        <w:t>2023《质量分级及“领跑者”评价标准编制通则》</w:t>
      </w:r>
      <w:r>
        <w:rPr>
          <w:rFonts w:hint="eastAsia" w:ascii="宋体" w:hAnsi="宋体"/>
          <w:szCs w:val="21"/>
        </w:rPr>
        <w:t>的规定起草。</w:t>
      </w:r>
    </w:p>
    <w:p>
      <w:pPr>
        <w:autoSpaceDE w:val="0"/>
        <w:autoSpaceDN w:val="0"/>
        <w:adjustRightInd w:val="0"/>
        <w:spacing w:line="276" w:lineRule="auto"/>
        <w:ind w:firstLine="420" w:firstLineChars="200"/>
        <w:rPr>
          <w:rFonts w:ascii="宋体" w:hAnsi="宋体" w:eastAsia="宋体" w:cs="Times New Roman"/>
          <w:kern w:val="0"/>
        </w:rPr>
      </w:pPr>
      <w:r>
        <w:rPr>
          <w:rFonts w:ascii="宋体" w:hAnsi="宋体" w:eastAsia="宋体" w:cs="Times New Roman"/>
          <w:kern w:val="0"/>
        </w:rPr>
        <w:t>请注意本文件的某些内容可能涉及专利。本文件的发布机构不承担识别专利的责任。</w:t>
      </w:r>
    </w:p>
    <w:p>
      <w:pPr>
        <w:spacing w:line="276" w:lineRule="auto"/>
        <w:ind w:firstLine="420" w:firstLineChars="200"/>
        <w:rPr>
          <w:rFonts w:cs="宋体"/>
        </w:rPr>
      </w:pPr>
      <w:r>
        <w:rPr>
          <w:rFonts w:cs="宋体"/>
        </w:rPr>
        <w:t>本</w:t>
      </w:r>
      <w:r>
        <w:rPr>
          <w:rFonts w:hint="eastAsia" w:cs="宋体"/>
        </w:rPr>
        <w:t>文件</w:t>
      </w:r>
      <w:r>
        <w:rPr>
          <w:rFonts w:cs="宋体"/>
        </w:rPr>
        <w:t>由</w:t>
      </w:r>
      <w:r>
        <w:rPr>
          <w:rFonts w:hint="eastAsia" w:cs="宋体"/>
        </w:rPr>
        <w:t>企业标准“领跑者”工作委员会提出。</w:t>
      </w:r>
    </w:p>
    <w:p>
      <w:pPr>
        <w:spacing w:line="276" w:lineRule="auto"/>
        <w:ind w:firstLine="420" w:firstLineChars="200"/>
        <w:rPr>
          <w:rFonts w:cs="宋体"/>
        </w:rPr>
      </w:pPr>
      <w:r>
        <w:rPr>
          <w:rFonts w:hint="eastAsia" w:cs="宋体"/>
        </w:rPr>
        <w:t>本文件由中国五金制品协会归口。</w:t>
      </w:r>
    </w:p>
    <w:p>
      <w:pPr>
        <w:spacing w:line="276" w:lineRule="auto"/>
        <w:ind w:firstLine="420" w:firstLineChars="200"/>
        <w:rPr>
          <w:rFonts w:cs="宋体"/>
        </w:rPr>
      </w:pPr>
      <w:r>
        <w:rPr>
          <w:rFonts w:hint="eastAsia" w:cs="宋体"/>
        </w:rPr>
        <w:t>本文件起草单位</w:t>
      </w:r>
      <w:r>
        <w:rPr>
          <w:rFonts w:cs="宋体"/>
        </w:rPr>
        <w:t>：</w:t>
      </w:r>
      <w:r>
        <w:rPr>
          <w:rFonts w:hint="eastAsia" w:cs="宋体"/>
        </w:rPr>
        <w:t>X</w:t>
      </w:r>
      <w:r>
        <w:rPr>
          <w:rFonts w:cs="宋体"/>
        </w:rPr>
        <w:t>XXXX</w:t>
      </w:r>
    </w:p>
    <w:p>
      <w:pPr>
        <w:spacing w:line="276" w:lineRule="auto"/>
        <w:ind w:firstLine="420" w:firstLineChars="200"/>
        <w:rPr>
          <w:rFonts w:cs="宋体"/>
        </w:rPr>
      </w:pPr>
      <w:r>
        <w:rPr>
          <w:rFonts w:hint="eastAsia" w:cs="宋体"/>
        </w:rPr>
        <w:t>本文件主要起草人：X</w:t>
      </w:r>
      <w:r>
        <w:rPr>
          <w:rFonts w:cs="宋体"/>
        </w:rPr>
        <w:t>XXX</w:t>
      </w:r>
    </w:p>
    <w:p>
      <w:pPr>
        <w:spacing w:line="276" w:lineRule="auto"/>
        <w:ind w:firstLine="420" w:firstLineChars="200"/>
        <w:rPr>
          <w:szCs w:val="21"/>
        </w:rPr>
      </w:pPr>
      <w:bookmarkStart w:id="12" w:name="_Toc65687977"/>
      <w:r>
        <w:rPr>
          <w:rFonts w:hint="eastAsia"/>
          <w:szCs w:val="21"/>
        </w:rPr>
        <w:t>本文件为首次发布。</w:t>
      </w:r>
    </w:p>
    <w:p>
      <w:pPr>
        <w:pStyle w:val="58"/>
        <w:spacing w:before="312" w:beforeLines="100" w:after="312" w:afterLines="100"/>
        <w:outlineLvl w:val="9"/>
        <w:sectPr>
          <w:headerReference r:id="rId4" w:type="default"/>
          <w:footerReference r:id="rId5" w:type="default"/>
          <w:pgSz w:w="11906" w:h="16838"/>
          <w:pgMar w:top="1134" w:right="1134" w:bottom="1134" w:left="1134" w:header="907" w:footer="850" w:gutter="0"/>
          <w:pgNumType w:fmt="upperRoman" w:start="1"/>
          <w:cols w:space="720" w:num="1"/>
          <w:formProt w:val="0"/>
          <w:docGrid w:type="lines" w:linePitch="312" w:charSpace="0"/>
        </w:sectPr>
      </w:pPr>
    </w:p>
    <w:p>
      <w:pPr>
        <w:pStyle w:val="58"/>
        <w:outlineLvl w:val="9"/>
      </w:pPr>
      <w:r>
        <w:tab/>
      </w:r>
      <w:bookmarkEnd w:id="12"/>
      <w:r>
        <w:rPr>
          <w:rFonts w:hint="eastAsia"/>
        </w:rPr>
        <w:t xml:space="preserve">质量分级及“领跑者”评价要求  </w:t>
      </w:r>
      <w:bookmarkStart w:id="13" w:name="_Hlk147395061"/>
      <w:r>
        <w:rPr>
          <w:rFonts w:hint="eastAsia"/>
        </w:rPr>
        <w:t>家居用缓冲型抽屉导轨</w:t>
      </w:r>
      <w:bookmarkEnd w:id="13"/>
    </w:p>
    <w:p>
      <w:pPr>
        <w:pStyle w:val="2"/>
        <w:spacing w:before="0" w:after="0"/>
        <w:rPr>
          <w:rFonts w:ascii="黑体" w:hAnsi="黑体" w:eastAsia="黑体"/>
          <w:b w:val="0"/>
          <w:sz w:val="24"/>
          <w:szCs w:val="24"/>
        </w:rPr>
      </w:pPr>
      <w:bookmarkStart w:id="14" w:name="_Toc65687978"/>
      <w:bookmarkStart w:id="15" w:name="_Toc385601798"/>
      <w:bookmarkStart w:id="16" w:name="_Toc415043549"/>
      <w:bookmarkStart w:id="17" w:name="_Toc415043488"/>
      <w:bookmarkStart w:id="18" w:name="_Toc23920"/>
      <w:bookmarkStart w:id="19" w:name="_Toc415043895"/>
      <w:bookmarkStart w:id="20" w:name="_Toc385602847"/>
      <w:r>
        <w:rPr>
          <w:rFonts w:hint="eastAsia" w:ascii="黑体" w:hAnsi="黑体" w:eastAsia="黑体"/>
          <w:b w:val="0"/>
          <w:sz w:val="24"/>
          <w:szCs w:val="24"/>
        </w:rPr>
        <w:t>1 范围</w:t>
      </w:r>
      <w:bookmarkEnd w:id="14"/>
      <w:bookmarkEnd w:id="15"/>
      <w:bookmarkEnd w:id="16"/>
      <w:bookmarkEnd w:id="17"/>
      <w:bookmarkEnd w:id="18"/>
      <w:bookmarkEnd w:id="19"/>
      <w:bookmarkEnd w:id="20"/>
    </w:p>
    <w:p>
      <w:pPr>
        <w:pStyle w:val="33"/>
        <w:spacing w:line="276" w:lineRule="auto"/>
      </w:pPr>
      <w:r>
        <w:rPr>
          <w:rFonts w:hint="eastAsia"/>
          <w:highlight w:val="yellow"/>
        </w:rPr>
        <w:t>本文件规定了</w:t>
      </w:r>
      <w:r>
        <w:rPr>
          <w:rFonts w:hint="eastAsia" w:asciiTheme="minorHAnsi"/>
        </w:rPr>
        <w:t>家居用缓冲型抽屉导轨</w:t>
      </w:r>
      <w:r>
        <w:rPr>
          <w:rFonts w:hint="eastAsia" w:asciiTheme="minorHAnsi"/>
          <w:highlight w:val="yellow"/>
        </w:rPr>
        <w:t>产品</w:t>
      </w:r>
      <w:r>
        <w:rPr>
          <w:rFonts w:hint="eastAsia"/>
          <w:highlight w:val="yellow"/>
        </w:rPr>
        <w:t>质量及企业标准水平的</w:t>
      </w:r>
      <w:r>
        <w:rPr>
          <w:rFonts w:hint="eastAsia" w:hAnsi="宋体" w:eastAsia="宋体" w:cs="Arial"/>
          <w:szCs w:val="21"/>
          <w:highlight w:val="yellow"/>
        </w:rPr>
        <w:t>基本要求、评价指标及要求、</w:t>
      </w:r>
      <w:r>
        <w:rPr>
          <w:rFonts w:ascii="Times New Roman"/>
          <w:szCs w:val="21"/>
          <w:highlight w:val="yellow"/>
        </w:rPr>
        <w:t>评价</w:t>
      </w:r>
      <w:r>
        <w:rPr>
          <w:rFonts w:hint="eastAsia" w:ascii="Times New Roman"/>
          <w:szCs w:val="21"/>
          <w:highlight w:val="yellow"/>
        </w:rPr>
        <w:t>方法及等级划分</w:t>
      </w:r>
      <w:r>
        <w:rPr>
          <w:rFonts w:hint="eastAsia"/>
        </w:rPr>
        <w:t>。</w:t>
      </w:r>
    </w:p>
    <w:p>
      <w:pPr>
        <w:pStyle w:val="33"/>
        <w:spacing w:line="276" w:lineRule="auto"/>
      </w:pPr>
      <w:r>
        <w:rPr>
          <w:rFonts w:hint="eastAsia" w:hAnsi="宋体"/>
        </w:rPr>
        <w:t>本</w:t>
      </w:r>
      <w:r>
        <w:rPr>
          <w:rFonts w:hint="eastAsia"/>
        </w:rPr>
        <w:t>文件适用于</w:t>
      </w:r>
      <w:bookmarkStart w:id="21" w:name="_Hlk42777362"/>
      <w:r>
        <w:rPr>
          <w:rFonts w:hint="eastAsia" w:asciiTheme="minorHAnsi"/>
        </w:rPr>
        <w:t>家居用缓冲型抽屉导轨产品</w:t>
      </w:r>
      <w:r>
        <w:rPr>
          <w:rFonts w:hint="eastAsia"/>
        </w:rPr>
        <w:t>质量及企业标准水平评价</w:t>
      </w:r>
      <w:bookmarkEnd w:id="21"/>
      <w:r>
        <w:rPr>
          <w:rFonts w:hint="eastAsia"/>
        </w:rPr>
        <w:t>。相关机构开展质量分级和企业标准水平评价、“领跑者”产品评价以及相关认证或评价时可参照使用，相关企业在制定企业标准时也可参照本文件。</w:t>
      </w:r>
    </w:p>
    <w:p>
      <w:pPr>
        <w:spacing w:line="300" w:lineRule="auto"/>
        <w:ind w:firstLine="420" w:firstLineChars="200"/>
        <w:rPr>
          <w:rFonts w:eastAsia="宋体"/>
        </w:rPr>
      </w:pPr>
    </w:p>
    <w:p>
      <w:pPr>
        <w:pStyle w:val="2"/>
        <w:spacing w:before="0" w:after="0"/>
        <w:rPr>
          <w:rFonts w:ascii="黑体" w:hAnsi="黑体" w:eastAsia="黑体"/>
          <w:b w:val="0"/>
          <w:sz w:val="24"/>
          <w:szCs w:val="24"/>
        </w:rPr>
      </w:pPr>
      <w:bookmarkStart w:id="22" w:name="_Toc17469"/>
      <w:bookmarkStart w:id="23" w:name="_Toc385601799"/>
      <w:bookmarkStart w:id="24" w:name="_Toc385602848"/>
      <w:bookmarkStart w:id="25" w:name="_Toc65687979"/>
      <w:bookmarkStart w:id="26" w:name="_Toc415043489"/>
      <w:bookmarkStart w:id="27" w:name="_Toc415043550"/>
      <w:bookmarkStart w:id="28" w:name="_Toc415043896"/>
      <w:r>
        <w:rPr>
          <w:rFonts w:hint="eastAsia" w:ascii="黑体" w:hAnsi="黑体" w:eastAsia="黑体"/>
          <w:b w:val="0"/>
          <w:sz w:val="24"/>
          <w:szCs w:val="24"/>
        </w:rPr>
        <w:t>2 规范性引用文件</w:t>
      </w:r>
      <w:bookmarkEnd w:id="22"/>
      <w:bookmarkEnd w:id="23"/>
      <w:bookmarkEnd w:id="24"/>
      <w:bookmarkEnd w:id="25"/>
      <w:bookmarkEnd w:id="26"/>
      <w:bookmarkEnd w:id="27"/>
      <w:bookmarkEnd w:id="28"/>
    </w:p>
    <w:p>
      <w:pPr>
        <w:spacing w:line="276" w:lineRule="auto"/>
        <w:ind w:firstLine="420" w:firstLineChars="20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p>
      <w:pPr>
        <w:spacing w:line="276" w:lineRule="auto"/>
        <w:ind w:firstLine="420" w:firstLineChars="200"/>
      </w:pPr>
      <w:r>
        <w:rPr>
          <w:rFonts w:hint="eastAsia"/>
        </w:rPr>
        <w:t>（按国标、行标、和国际标准顺序排列）</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191-2008 包装储运图示标志</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6461-2002 金属基体上金属和其他无机覆盖层 经腐蚀试验后的试样和试件的评级</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10125-2021 人造气氛腐蚀试验 盐雾试验</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10125 人造气氛腐蚀试验 盐雾试验（GB/T 10125-2012，ISO 9227-2006，IDT）</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10357.5-2011 家具力学性能试验 第5部分：柜类强度和耐久性</w:t>
      </w:r>
    </w:p>
    <w:p>
      <w:pPr>
        <w:spacing w:line="276" w:lineRule="auto"/>
        <w:ind w:firstLine="420" w:firstLineChars="200"/>
        <w:rPr>
          <w:rFonts w:hint="eastAsia" w:ascii="Times New Roman" w:hAnsi="Times New Roman" w:cs="Times New Roman"/>
        </w:rPr>
      </w:pPr>
      <w:r>
        <w:rPr>
          <w:rFonts w:hint="eastAsia" w:ascii="Times New Roman" w:hAnsi="Times New Roman" w:cs="Times New Roman"/>
        </w:rPr>
        <w:t>GB/T 11374热喷涂涂层厚度的无损测量方法</w:t>
      </w:r>
    </w:p>
    <w:p>
      <w:pPr>
        <w:spacing w:line="276" w:lineRule="auto"/>
        <w:ind w:firstLine="420" w:firstLineChars="200"/>
        <w:rPr>
          <w:rFonts w:ascii="Times New Roman" w:hAnsi="Times New Roman" w:cs="Times New Roman"/>
        </w:rPr>
      </w:pPr>
      <w:r>
        <w:rPr>
          <w:rFonts w:hint="eastAsia" w:ascii="Times New Roman" w:hAnsi="Times New Roman" w:cs="Times New Roman"/>
        </w:rPr>
        <w:t>GB/T 17657-2022 人造板及饰面人造板理化性能试验方法</w:t>
      </w:r>
    </w:p>
    <w:p>
      <w:pPr>
        <w:spacing w:line="276" w:lineRule="auto"/>
        <w:ind w:firstLine="420" w:firstLineChars="200"/>
        <w:rPr>
          <w:rFonts w:ascii="Times New Roman" w:hAnsi="Times New Roman" w:cs="Times New Roman"/>
        </w:rPr>
      </w:pPr>
      <w:r>
        <w:rPr>
          <w:rFonts w:hint="eastAsia" w:ascii="Times New Roman" w:hAnsi="Times New Roman" w:cs="Times New Roman"/>
        </w:rPr>
        <w:t xml:space="preserve">GB/T 19001  质量管理体系 </w:t>
      </w:r>
      <w:r>
        <w:rPr>
          <w:rFonts w:ascii="Times New Roman" w:hAnsi="Times New Roman" w:cs="Times New Roman"/>
        </w:rPr>
        <w:t xml:space="preserve"> </w:t>
      </w:r>
      <w:r>
        <w:rPr>
          <w:rFonts w:hint="eastAsia" w:ascii="Times New Roman" w:hAnsi="Times New Roman" w:cs="Times New Roman"/>
        </w:rPr>
        <w:t>要求</w:t>
      </w:r>
    </w:p>
    <w:p>
      <w:pPr>
        <w:spacing w:line="276" w:lineRule="auto"/>
        <w:ind w:firstLine="420" w:firstLineChars="200"/>
        <w:rPr>
          <w:rFonts w:ascii="Times New Roman" w:hAnsi="Times New Roman" w:cs="Times New Roman"/>
        </w:rPr>
      </w:pPr>
      <w:r>
        <w:rPr>
          <w:rFonts w:hint="eastAsia" w:ascii="Times New Roman" w:hAnsi="Times New Roman" w:cs="Times New Roman"/>
        </w:rPr>
        <w:t xml:space="preserve">GB/T 23331  能源管理体系 </w:t>
      </w:r>
      <w:r>
        <w:rPr>
          <w:rFonts w:ascii="Times New Roman" w:hAnsi="Times New Roman" w:cs="Times New Roman"/>
        </w:rPr>
        <w:t xml:space="preserve"> </w:t>
      </w:r>
      <w:r>
        <w:rPr>
          <w:rFonts w:hint="eastAsia" w:ascii="Times New Roman" w:hAnsi="Times New Roman" w:cs="Times New Roman"/>
        </w:rPr>
        <w:t>要求及使用指南</w:t>
      </w:r>
    </w:p>
    <w:p>
      <w:pPr>
        <w:spacing w:line="276" w:lineRule="auto"/>
        <w:ind w:firstLine="420" w:firstLineChars="200"/>
        <w:rPr>
          <w:rFonts w:ascii="Times New Roman" w:hAnsi="Times New Roman" w:cs="Times New Roman"/>
        </w:rPr>
      </w:pPr>
      <w:r>
        <w:rPr>
          <w:rFonts w:hint="eastAsia" w:ascii="Times New Roman" w:hAnsi="Times New Roman" w:cs="Times New Roman"/>
        </w:rPr>
        <w:t xml:space="preserve">GB/T 24001  环境管理体系 </w:t>
      </w:r>
      <w:r>
        <w:rPr>
          <w:rFonts w:ascii="Times New Roman" w:hAnsi="Times New Roman" w:cs="Times New Roman"/>
        </w:rPr>
        <w:t xml:space="preserve"> </w:t>
      </w:r>
      <w:r>
        <w:rPr>
          <w:rFonts w:hint="eastAsia" w:ascii="Times New Roman" w:hAnsi="Times New Roman" w:cs="Times New Roman"/>
        </w:rPr>
        <w:t>要求及使用指南</w:t>
      </w:r>
    </w:p>
    <w:p>
      <w:pPr>
        <w:spacing w:line="276" w:lineRule="auto"/>
        <w:ind w:firstLine="420" w:firstLineChars="200"/>
        <w:rPr>
          <w:rFonts w:ascii="Times New Roman" w:hAnsi="Times New Roman" w:cs="Times New Roman"/>
        </w:rPr>
      </w:pPr>
      <w:r>
        <w:rPr>
          <w:rFonts w:hint="eastAsia" w:ascii="Times New Roman" w:hAnsi="Times New Roman" w:cs="Times New Roman"/>
        </w:rPr>
        <w:t xml:space="preserve">GB/T 45001  职业健康安全管理体系 </w:t>
      </w:r>
      <w:r>
        <w:rPr>
          <w:rFonts w:ascii="Times New Roman" w:hAnsi="Times New Roman" w:cs="Times New Roman"/>
        </w:rPr>
        <w:t xml:space="preserve"> </w:t>
      </w:r>
      <w:r>
        <w:rPr>
          <w:rFonts w:hint="eastAsia" w:ascii="Times New Roman" w:hAnsi="Times New Roman" w:cs="Times New Roman"/>
        </w:rPr>
        <w:t>要求及使用指南</w:t>
      </w:r>
    </w:p>
    <w:p>
      <w:pPr>
        <w:spacing w:line="276" w:lineRule="auto"/>
        <w:ind w:firstLine="420" w:firstLineChars="200"/>
        <w:rPr>
          <w:rFonts w:ascii="Times New Roman" w:hAnsi="Times New Roman" w:cs="Times New Roman"/>
        </w:rPr>
      </w:pPr>
      <w:r>
        <w:rPr>
          <w:rFonts w:ascii="Times New Roman" w:hAnsi="Times New Roman" w:cs="Times New Roman"/>
        </w:rPr>
        <w:t xml:space="preserve">QB/T 2454-2013 </w:t>
      </w:r>
      <w:r>
        <w:rPr>
          <w:rFonts w:hint="eastAsia" w:ascii="Times New Roman" w:hAnsi="Times New Roman" w:cs="Times New Roman"/>
        </w:rPr>
        <w:t>家具五金 抽屉导轨</w:t>
      </w:r>
    </w:p>
    <w:p>
      <w:pPr>
        <w:spacing w:line="276" w:lineRule="auto"/>
        <w:ind w:firstLine="420" w:firstLineChars="200"/>
        <w:rPr>
          <w:rFonts w:hint="eastAsia" w:ascii="Times New Roman" w:hAnsi="Times New Roman" w:cs="Times New Roman"/>
        </w:rPr>
      </w:pPr>
      <w:r>
        <w:rPr>
          <w:rFonts w:ascii="Times New Roman" w:hAnsi="Times New Roman" w:cs="Times New Roman"/>
        </w:rPr>
        <w:t xml:space="preserve">QB/T 1242-2021 </w:t>
      </w:r>
      <w:r>
        <w:rPr>
          <w:rFonts w:hint="eastAsia" w:ascii="Times New Roman" w:hAnsi="Times New Roman" w:cs="Times New Roman"/>
        </w:rPr>
        <w:t>家具五金件安装尺寸</w:t>
      </w:r>
    </w:p>
    <w:p>
      <w:pPr>
        <w:spacing w:line="276" w:lineRule="auto"/>
        <w:ind w:firstLine="420" w:firstLineChars="200"/>
        <w:rPr>
          <w:rFonts w:ascii="Times New Roman" w:hAnsi="Times New Roman" w:cs="Times New Roman"/>
          <w:highlight w:val="yellow"/>
        </w:rPr>
      </w:pPr>
      <w:r>
        <w:rPr>
          <w:rFonts w:hint="eastAsia" w:ascii="Times New Roman" w:hAnsi="Times New Roman" w:cs="Times New Roman"/>
          <w:highlight w:val="yellow"/>
        </w:rPr>
        <w:t>T/CSTE 0421  质量分级及“领跑者”产品标识</w:t>
      </w:r>
    </w:p>
    <w:p>
      <w:pPr>
        <w:spacing w:line="276" w:lineRule="auto"/>
        <w:ind w:firstLine="420" w:firstLineChars="200"/>
        <w:rPr>
          <w:rFonts w:hint="eastAsia" w:ascii="Times New Roman" w:hAnsi="Times New Roman" w:cs="Times New Roman"/>
          <w:highlight w:val="cyan"/>
        </w:rPr>
      </w:pPr>
      <w:r>
        <w:rPr>
          <w:rFonts w:hint="eastAsia" w:ascii="Times New Roman" w:hAnsi="Times New Roman" w:cs="Times New Roman"/>
          <w:highlight w:val="cyan"/>
        </w:rPr>
        <w:t>IEC 62321（所有部分）电工产品一种限用物质含量测定（Electrotechnical products Determination of levels of six regulated substances）</w:t>
      </w:r>
    </w:p>
    <w:p>
      <w:pPr>
        <w:spacing w:line="276" w:lineRule="auto"/>
        <w:ind w:firstLine="420" w:firstLineChars="200"/>
        <w:rPr>
          <w:rFonts w:hint="eastAsia" w:ascii="Times New Roman" w:hAnsi="Times New Roman" w:cs="Times New Roman"/>
          <w:highlight w:val="cyan"/>
        </w:rPr>
      </w:pPr>
      <w:r>
        <w:rPr>
          <w:rFonts w:hint="eastAsia" w:ascii="Times New Roman" w:hAnsi="Times New Roman" w:cs="Times New Roman"/>
          <w:highlight w:val="cyan"/>
        </w:rPr>
        <w:t>欧盟2002/95/EC（RoHS）指令 关于在电气电子设备中限制使用某些有害物质指令（on the restriction of the use of certain hazardous substances in electrical and electronic equipment）</w:t>
      </w:r>
    </w:p>
    <w:p>
      <w:pPr>
        <w:pStyle w:val="2"/>
        <w:spacing w:before="0" w:after="0"/>
        <w:rPr>
          <w:rFonts w:ascii="黑体" w:hAnsi="黑体" w:eastAsia="黑体"/>
          <w:b w:val="0"/>
          <w:sz w:val="24"/>
          <w:szCs w:val="24"/>
        </w:rPr>
      </w:pPr>
      <w:bookmarkStart w:id="29" w:name="_Toc385601800"/>
      <w:bookmarkEnd w:id="29"/>
      <w:bookmarkStart w:id="30" w:name="_Toc385602849"/>
      <w:bookmarkStart w:id="31" w:name="_Toc19706"/>
      <w:bookmarkStart w:id="32" w:name="_Toc415043897"/>
      <w:bookmarkStart w:id="33" w:name="_Toc415043490"/>
      <w:bookmarkStart w:id="34" w:name="_Toc415043551"/>
      <w:bookmarkStart w:id="35" w:name="_Toc65687980"/>
      <w:r>
        <w:rPr>
          <w:rFonts w:hint="eastAsia" w:ascii="黑体" w:hAnsi="黑体" w:eastAsia="黑体"/>
          <w:b w:val="0"/>
          <w:sz w:val="24"/>
          <w:szCs w:val="24"/>
        </w:rPr>
        <w:t>3 术语和定义</w:t>
      </w:r>
      <w:bookmarkEnd w:id="30"/>
      <w:bookmarkEnd w:id="31"/>
      <w:bookmarkEnd w:id="32"/>
      <w:bookmarkEnd w:id="33"/>
      <w:bookmarkEnd w:id="34"/>
      <w:bookmarkEnd w:id="35"/>
    </w:p>
    <w:p>
      <w:bookmarkStart w:id="36" w:name="_Toc415043898"/>
      <w:bookmarkEnd w:id="36"/>
      <w:bookmarkStart w:id="37" w:name="_Toc415043553"/>
      <w:bookmarkEnd w:id="37"/>
      <w:bookmarkStart w:id="38" w:name="_Toc415043491"/>
      <w:bookmarkEnd w:id="38"/>
      <w:bookmarkStart w:id="39" w:name="_Toc415043899"/>
      <w:bookmarkEnd w:id="39"/>
      <w:bookmarkStart w:id="40" w:name="_Toc375076815"/>
      <w:bookmarkEnd w:id="40"/>
      <w:bookmarkStart w:id="41" w:name="_Toc415043492"/>
      <w:bookmarkEnd w:id="41"/>
      <w:bookmarkStart w:id="42" w:name="_Toc415043552"/>
      <w:bookmarkEnd w:id="42"/>
      <w:bookmarkStart w:id="43" w:name="_Hlk147395988"/>
      <w:bookmarkStart w:id="44" w:name="_Toc65687981"/>
      <w:bookmarkStart w:id="45" w:name="_Toc385602850"/>
      <w:bookmarkStart w:id="46" w:name="_Toc415043496"/>
      <w:bookmarkStart w:id="47" w:name="_Toc25668"/>
      <w:bookmarkStart w:id="48" w:name="_Toc415043903"/>
      <w:bookmarkStart w:id="49" w:name="_Toc415043557"/>
      <w:bookmarkStart w:id="50" w:name="_Toc528835813"/>
      <w:r>
        <w:rPr>
          <w:rFonts w:hint="eastAsia" w:ascii="Times New Roman" w:hAnsi="Times New Roman" w:cs="Times New Roman"/>
        </w:rPr>
        <w:t>QB/T 2454-2013</w:t>
      </w:r>
      <w:bookmarkEnd w:id="43"/>
      <w:r>
        <w:rPr>
          <w:rFonts w:hint="eastAsia" w:ascii="Times New Roman" w:hAnsi="Times New Roman" w:cs="Times New Roman"/>
        </w:rPr>
        <w:t>、QB/T 1242-2021</w:t>
      </w:r>
      <w:r>
        <w:rPr>
          <w:rFonts w:hint="eastAsia" w:ascii="Times New Roman" w:hAnsi="Times New Roman" w:cs="Times New Roman"/>
          <w:kern w:val="0"/>
        </w:rPr>
        <w:t>界定的以及</w:t>
      </w:r>
      <w:r>
        <w:rPr>
          <w:rFonts w:hint="eastAsia" w:ascii="Times New Roman"/>
        </w:rPr>
        <w:t>下列术语和定义适用于本</w:t>
      </w:r>
      <w:r>
        <w:rPr>
          <w:rFonts w:hint="eastAsia"/>
        </w:rPr>
        <w:t>文件</w:t>
      </w:r>
      <w:r>
        <w:rPr>
          <w:rFonts w:hint="eastAsia" w:ascii="Times New Roman"/>
        </w:rPr>
        <w:t>。</w:t>
      </w:r>
    </w:p>
    <w:p>
      <w:pPr>
        <w:pStyle w:val="2"/>
        <w:spacing w:before="0" w:after="0"/>
        <w:rPr>
          <w:rFonts w:ascii="黑体" w:hAnsi="黑体" w:eastAsia="黑体"/>
          <w:b w:val="0"/>
          <w:sz w:val="24"/>
          <w:szCs w:val="24"/>
        </w:rPr>
      </w:pPr>
      <w:r>
        <w:rPr>
          <w:rFonts w:hint="eastAsia" w:ascii="黑体" w:hAnsi="黑体" w:eastAsia="黑体"/>
          <w:b w:val="0"/>
          <w:sz w:val="24"/>
          <w:szCs w:val="24"/>
        </w:rPr>
        <w:t xml:space="preserve">4 </w:t>
      </w:r>
      <w:bookmarkEnd w:id="44"/>
      <w:r>
        <w:rPr>
          <w:rFonts w:hint="eastAsia" w:ascii="黑体" w:hAnsi="黑体" w:eastAsia="黑体"/>
          <w:b w:val="0"/>
          <w:sz w:val="24"/>
          <w:szCs w:val="24"/>
        </w:rPr>
        <w:t>基本要求</w:t>
      </w:r>
    </w:p>
    <w:p>
      <w:pPr>
        <w:pStyle w:val="80"/>
        <w:spacing w:line="276" w:lineRule="auto"/>
        <w:rPr>
          <w:rFonts w:ascii="Times New Roman" w:hAnsi="Times New Roman" w:cs="Times New Roman"/>
          <w:sz w:val="21"/>
          <w:szCs w:val="21"/>
          <w:lang w:eastAsia="zh-CN"/>
        </w:rPr>
      </w:pPr>
      <w:bookmarkStart w:id="51" w:name="_Toc65687984"/>
      <w:bookmarkStart w:id="52" w:name="_Toc33563757"/>
      <w:bookmarkStart w:id="53" w:name="_Toc401669933"/>
      <w:bookmarkStart w:id="54" w:name="_Toc35259974"/>
      <w:r>
        <w:rPr>
          <w:rFonts w:hint="eastAsia" w:ascii="黑体" w:hAnsi="黑体" w:eastAsia="黑体" w:cs="黑体"/>
          <w:sz w:val="21"/>
          <w:szCs w:val="21"/>
          <w:lang w:eastAsia="zh-CN"/>
        </w:rPr>
        <w:t>4.1</w:t>
      </w:r>
      <w:r>
        <w:rPr>
          <w:rFonts w:hint="eastAsia" w:ascii="Times New Roman" w:hAnsi="Times New Roman" w:cs="Times New Roman"/>
          <w:sz w:val="21"/>
          <w:szCs w:val="21"/>
          <w:lang w:eastAsia="zh-CN"/>
        </w:rPr>
        <w:t>近三年，企业无较大及以上质量、环境、安全等事故。</w:t>
      </w:r>
    </w:p>
    <w:p>
      <w:pPr>
        <w:pStyle w:val="80"/>
        <w:spacing w:line="276" w:lineRule="auto"/>
        <w:rPr>
          <w:rFonts w:ascii="Times New Roman" w:hAnsi="Times New Roman" w:cs="Times New Roman"/>
          <w:sz w:val="21"/>
          <w:szCs w:val="21"/>
          <w:lang w:eastAsia="zh-CN"/>
        </w:rPr>
      </w:pPr>
      <w:r>
        <w:rPr>
          <w:rFonts w:hint="eastAsia" w:ascii="黑体" w:hAnsi="黑体" w:eastAsia="黑体" w:cs="黑体"/>
          <w:sz w:val="21"/>
          <w:szCs w:val="21"/>
          <w:lang w:eastAsia="zh-CN"/>
        </w:rPr>
        <w:t>4.2</w:t>
      </w:r>
      <w:r>
        <w:rPr>
          <w:rFonts w:hint="eastAsia" w:ascii="Times New Roman" w:hAnsi="Times New Roman" w:cs="Times New Roman"/>
          <w:sz w:val="21"/>
          <w:szCs w:val="21"/>
          <w:lang w:eastAsia="zh-CN"/>
        </w:rPr>
        <w:t>企业未列入国家信用信息严重失信主体相关名录。</w:t>
      </w:r>
    </w:p>
    <w:p>
      <w:pPr>
        <w:pStyle w:val="80"/>
        <w:spacing w:line="276" w:lineRule="auto"/>
        <w:rPr>
          <w:rFonts w:ascii="Times New Roman" w:hAnsi="Times New Roman"/>
          <w:bCs/>
          <w:lang w:eastAsia="zh-CN"/>
        </w:rPr>
      </w:pPr>
      <w:r>
        <w:rPr>
          <w:rFonts w:hint="eastAsia" w:ascii="黑体" w:hAnsi="黑体" w:eastAsia="黑体" w:cs="黑体"/>
          <w:sz w:val="21"/>
          <w:szCs w:val="21"/>
          <w:lang w:eastAsia="zh-CN"/>
        </w:rPr>
        <w:t>4.3</w:t>
      </w:r>
      <w:r>
        <w:rPr>
          <w:rFonts w:hint="eastAsia"/>
          <w:bCs/>
          <w:lang w:eastAsia="zh-CN"/>
        </w:rPr>
        <w:t>企业可根据</w:t>
      </w:r>
      <w:r>
        <w:rPr>
          <w:rFonts w:ascii="Times New Roman" w:hAnsi="Times New Roman" w:cs="Times New Roman"/>
          <w:bCs/>
          <w:sz w:val="21"/>
          <w:szCs w:val="21"/>
          <w:lang w:eastAsia="zh-CN"/>
        </w:rPr>
        <w:t>GB/T 19001、GB/T 23331、GB/T 24001、GB/T 45001</w:t>
      </w:r>
      <w:r>
        <w:rPr>
          <w:rFonts w:hint="eastAsia"/>
          <w:bCs/>
          <w:lang w:eastAsia="zh-CN"/>
        </w:rPr>
        <w:t>建立并运行相应质量、能源、环境和职业健康安全等管理体系，鼓励企业根据自身运营情况建立其他高水平的相关管理体系</w:t>
      </w:r>
      <w:r>
        <w:rPr>
          <w:rFonts w:hint="eastAsia"/>
          <w:color w:val="000000"/>
          <w:lang w:eastAsia="zh-CN"/>
        </w:rPr>
        <w:t>；</w:t>
      </w:r>
    </w:p>
    <w:p>
      <w:pPr>
        <w:pStyle w:val="80"/>
        <w:spacing w:line="276" w:lineRule="auto"/>
        <w:rPr>
          <w:rFonts w:ascii="Times New Roman" w:hAnsi="Times New Roman"/>
          <w:bCs/>
          <w:lang w:eastAsia="zh-CN"/>
        </w:rPr>
      </w:pPr>
      <w:r>
        <w:rPr>
          <w:rFonts w:hint="eastAsia" w:ascii="黑体" w:hAnsi="黑体" w:eastAsia="黑体" w:cs="黑体"/>
          <w:bCs/>
          <w:lang w:eastAsia="zh-CN"/>
        </w:rPr>
        <w:t>4.4</w:t>
      </w:r>
      <w:r>
        <w:rPr>
          <w:rFonts w:hint="eastAsia" w:ascii="Times New Roman" w:hAnsi="Times New Roman"/>
          <w:bCs/>
          <w:lang w:eastAsia="zh-CN"/>
        </w:rPr>
        <w:t>产品应为量产产品，家居用缓冲型抽屉导轨质量分级及“领跑者”标准应满足</w:t>
      </w:r>
      <w:r>
        <w:rPr>
          <w:rFonts w:hint="eastAsia" w:ascii="Times New Roman" w:hAnsi="Times New Roman" w:cs="Times New Roman"/>
          <w:sz w:val="21"/>
          <w:szCs w:val="21"/>
          <w:lang w:eastAsia="zh-CN"/>
        </w:rPr>
        <w:t>国家强制性标准及</w:t>
      </w:r>
      <w:r>
        <w:rPr>
          <w:rFonts w:hint="eastAsia" w:ascii="Times New Roman" w:hAnsi="Times New Roman"/>
          <w:bCs/>
          <w:lang w:eastAsia="zh-CN"/>
        </w:rPr>
        <w:t>相关家居用缓冲型抽屉导轨规定的要求。</w:t>
      </w:r>
    </w:p>
    <w:p>
      <w:pPr>
        <w:pStyle w:val="2"/>
        <w:spacing w:before="0" w:after="0"/>
        <w:rPr>
          <w:rFonts w:ascii="黑体" w:hAnsi="黑体" w:eastAsia="黑体"/>
          <w:b w:val="0"/>
          <w:sz w:val="24"/>
          <w:szCs w:val="24"/>
        </w:rPr>
      </w:pPr>
      <w:r>
        <w:rPr>
          <w:rFonts w:hint="eastAsia" w:ascii="黑体" w:hAnsi="黑体" w:eastAsia="黑体"/>
          <w:b w:val="0"/>
          <w:sz w:val="24"/>
          <w:szCs w:val="24"/>
        </w:rPr>
        <w:t>5 评价指标及要求</w:t>
      </w:r>
    </w:p>
    <w:p>
      <w:pPr>
        <w:pStyle w:val="65"/>
        <w:spacing w:line="300" w:lineRule="auto"/>
        <w:ind w:firstLine="0" w:firstLineChars="0"/>
        <w:rPr>
          <w:rFonts w:ascii="黑体" w:hAnsi="黑体" w:eastAsia="黑体" w:cs="Times New Roman"/>
          <w:szCs w:val="21"/>
        </w:rPr>
      </w:pPr>
      <w:r>
        <w:rPr>
          <w:rFonts w:hint="eastAsia" w:ascii="黑体" w:hAnsi="黑体" w:eastAsia="黑体" w:cs="黑体"/>
          <w:szCs w:val="21"/>
        </w:rPr>
        <w:t>5.1</w:t>
      </w:r>
      <w:r>
        <w:rPr>
          <w:rFonts w:hint="eastAsia" w:ascii="黑体" w:hAnsi="黑体" w:eastAsia="黑体" w:cs="Times New Roman"/>
          <w:szCs w:val="21"/>
        </w:rPr>
        <w:t>评价指标分类</w:t>
      </w:r>
    </w:p>
    <w:p>
      <w:pPr>
        <w:spacing w:line="300" w:lineRule="auto"/>
        <w:rPr>
          <w:rFonts w:ascii="Times New Roman" w:hAnsi="Times New Roman"/>
        </w:rPr>
      </w:pPr>
      <w:r>
        <w:rPr>
          <w:rFonts w:hint="eastAsia" w:ascii="黑体" w:hAnsi="黑体" w:eastAsia="黑体" w:cs="黑体"/>
        </w:rPr>
        <w:t>5.1.1</w:t>
      </w:r>
      <w:r>
        <w:rPr>
          <w:rFonts w:ascii="Times New Roman" w:hAnsi="Times New Roman"/>
        </w:rPr>
        <w:t xml:space="preserve"> </w:t>
      </w:r>
      <w:r>
        <w:rPr>
          <w:rFonts w:hint="eastAsia" w:ascii="Times New Roman" w:hAnsi="Times New Roman"/>
        </w:rPr>
        <w:t>家居用缓冲型抽屉导轨</w:t>
      </w:r>
      <w:r>
        <w:rPr>
          <w:rFonts w:hint="eastAsia"/>
        </w:rPr>
        <w:t>评价指标体系包括基础指标、核心指标和创新指标。</w:t>
      </w:r>
    </w:p>
    <w:p>
      <w:pPr>
        <w:spacing w:line="300" w:lineRule="auto"/>
        <w:rPr>
          <w:rFonts w:ascii="Times New Roman" w:hAnsi="Times New Roman"/>
        </w:rPr>
      </w:pPr>
      <w:r>
        <w:rPr>
          <w:rFonts w:hint="eastAsia" w:ascii="黑体" w:hAnsi="黑体" w:eastAsia="黑体" w:cs="黑体"/>
        </w:rPr>
        <w:t>5.1.2</w:t>
      </w:r>
      <w:r>
        <w:rPr>
          <w:rFonts w:hint="eastAsia" w:ascii="Times New Roman" w:hAnsi="Times New Roman"/>
        </w:rPr>
        <w:t>基础指标包括材料、垂直向下静载荷、水平侧向静载荷、猛关或猛开、抽屉导轨组件结构强度、耐久性、垂直向下静载荷、水平侧向静载荷、拉出安全性、猛关或猛开。</w:t>
      </w:r>
    </w:p>
    <w:p>
      <w:pPr>
        <w:pStyle w:val="37"/>
        <w:numPr>
          <w:ilvl w:val="0"/>
          <w:numId w:val="0"/>
        </w:numPr>
        <w:spacing w:beforeLines="0" w:afterLines="0" w:line="400" w:lineRule="exact"/>
        <w:outlineLvl w:val="9"/>
        <w:rPr>
          <w:rFonts w:ascii="Times New Roman" w:hAnsi="宋体" w:eastAsia="宋体"/>
          <w:kern w:val="2"/>
          <w:szCs w:val="24"/>
        </w:rPr>
      </w:pPr>
      <w:r>
        <w:rPr>
          <w:rFonts w:hint="eastAsia" w:hAnsi="黑体" w:cs="黑体"/>
        </w:rPr>
        <w:t>5.1.3</w:t>
      </w:r>
      <w:r>
        <w:rPr>
          <w:rFonts w:hint="eastAsia" w:ascii="Times New Roman" w:hAnsi="宋体" w:eastAsia="宋体"/>
          <w:kern w:val="2"/>
          <w:szCs w:val="24"/>
        </w:rPr>
        <w:t>核心指标包括操作力、抽屉导轨组件底部变形、下沉量、寿命测试（次）;核心指标分为三个等级，包括</w:t>
      </w:r>
      <w:r>
        <w:rPr>
          <w:rFonts w:hint="eastAsia" w:ascii="Times New Roman" w:hAnsi="宋体" w:eastAsia="宋体"/>
          <w:kern w:val="2"/>
          <w:szCs w:val="24"/>
          <w:highlight w:val="yellow"/>
        </w:rPr>
        <w:t>领跑者水平</w:t>
      </w:r>
      <w:r>
        <w:rPr>
          <w:rFonts w:hint="eastAsia" w:ascii="Times New Roman" w:hAnsi="宋体" w:eastAsia="宋体"/>
          <w:kern w:val="2"/>
          <w:szCs w:val="24"/>
        </w:rPr>
        <w:t>，相当于企业标准排行榜中5星级水平；</w:t>
      </w:r>
      <w:r>
        <w:rPr>
          <w:rFonts w:hint="eastAsia" w:ascii="Times New Roman" w:hAnsi="宋体" w:eastAsia="宋体"/>
          <w:kern w:val="2"/>
          <w:szCs w:val="24"/>
          <w:highlight w:val="yellow"/>
        </w:rPr>
        <w:t>优质水平</w:t>
      </w:r>
      <w:r>
        <w:rPr>
          <w:rFonts w:hint="eastAsia" w:ascii="Times New Roman" w:hAnsi="宋体" w:eastAsia="宋体"/>
          <w:kern w:val="2"/>
          <w:szCs w:val="24"/>
        </w:rPr>
        <w:t>，相当于企业标准排行榜中4星级水平；</w:t>
      </w:r>
      <w:r>
        <w:rPr>
          <w:rFonts w:hint="eastAsia" w:ascii="Times New Roman" w:hAnsi="宋体" w:eastAsia="宋体"/>
          <w:kern w:val="2"/>
          <w:szCs w:val="24"/>
          <w:highlight w:val="yellow"/>
        </w:rPr>
        <w:t>达标水平</w:t>
      </w:r>
      <w:r>
        <w:rPr>
          <w:rFonts w:hint="eastAsia" w:ascii="Times New Roman" w:hAnsi="宋体" w:eastAsia="宋体"/>
          <w:kern w:val="2"/>
          <w:szCs w:val="24"/>
        </w:rPr>
        <w:t>，相当于企业标准排行榜中3星级水平。</w:t>
      </w:r>
    </w:p>
    <w:p>
      <w:pPr>
        <w:pStyle w:val="37"/>
        <w:numPr>
          <w:ilvl w:val="0"/>
          <w:numId w:val="0"/>
        </w:numPr>
        <w:spacing w:beforeLines="0" w:afterLines="0" w:line="400" w:lineRule="exact"/>
        <w:outlineLvl w:val="9"/>
        <w:rPr>
          <w:rFonts w:ascii="Times New Roman" w:hAnsi="宋体" w:eastAsia="宋体"/>
          <w:kern w:val="2"/>
          <w:szCs w:val="24"/>
        </w:rPr>
      </w:pPr>
      <w:r>
        <w:rPr>
          <w:rFonts w:hint="eastAsia" w:hAnsi="黑体" w:cs="黑体"/>
        </w:rPr>
        <w:t>5.1</w:t>
      </w:r>
      <w:r>
        <w:rPr>
          <w:rFonts w:hint="eastAsia" w:hAnsi="黑体" w:cs="黑体"/>
          <w:kern w:val="2"/>
          <w:szCs w:val="24"/>
        </w:rPr>
        <w:t xml:space="preserve">.4 </w:t>
      </w:r>
      <w:r>
        <w:rPr>
          <w:rFonts w:hint="eastAsia" w:ascii="Times New Roman" w:hAnsi="宋体" w:eastAsia="宋体"/>
          <w:kern w:val="2"/>
          <w:szCs w:val="24"/>
        </w:rPr>
        <w:t>创新指标包括耐腐蚀、安全性能、调节功能、快速拆装功能，</w:t>
      </w:r>
      <w:r>
        <w:rPr>
          <w:rFonts w:hint="eastAsia" w:ascii="Times New Roman" w:hAnsi="宋体" w:eastAsia="宋体"/>
          <w:strike/>
          <w:kern w:val="2"/>
          <w:szCs w:val="24"/>
        </w:rPr>
        <w:t>可划分成</w:t>
      </w:r>
      <w:r>
        <w:rPr>
          <w:rFonts w:hint="eastAsia" w:ascii="Times New Roman" w:hAnsi="宋体" w:eastAsia="宋体"/>
          <w:strike/>
          <w:kern w:val="2"/>
          <w:szCs w:val="24"/>
          <w:highlight w:val="yellow"/>
        </w:rPr>
        <w:t>领跑者水平</w:t>
      </w:r>
      <w:r>
        <w:rPr>
          <w:rFonts w:hint="eastAsia" w:ascii="Times New Roman" w:hAnsi="宋体" w:eastAsia="宋体"/>
          <w:strike/>
          <w:kern w:val="2"/>
          <w:szCs w:val="24"/>
        </w:rPr>
        <w:t>和</w:t>
      </w:r>
      <w:r>
        <w:rPr>
          <w:rFonts w:hint="eastAsia" w:ascii="Times New Roman" w:hAnsi="宋体" w:eastAsia="宋体"/>
          <w:strike/>
          <w:kern w:val="2"/>
          <w:szCs w:val="24"/>
          <w:highlight w:val="yellow"/>
        </w:rPr>
        <w:t>优质水平</w:t>
      </w:r>
      <w:r>
        <w:rPr>
          <w:rFonts w:hint="eastAsia" w:ascii="Times New Roman" w:hAnsi="宋体" w:eastAsia="宋体"/>
          <w:strike/>
          <w:kern w:val="2"/>
          <w:szCs w:val="24"/>
        </w:rPr>
        <w:t>两个等级</w:t>
      </w:r>
      <w:r>
        <w:rPr>
          <w:rFonts w:hint="eastAsia" w:ascii="Times New Roman" w:hAnsi="宋体" w:eastAsia="宋体"/>
          <w:kern w:val="2"/>
          <w:szCs w:val="24"/>
        </w:rPr>
        <w:t>，</w:t>
      </w:r>
      <w:r>
        <w:rPr>
          <w:rFonts w:hint="eastAsia" w:ascii="Times New Roman" w:hAnsi="宋体" w:eastAsia="宋体"/>
          <w:strike/>
          <w:kern w:val="2"/>
          <w:szCs w:val="24"/>
        </w:rPr>
        <w:t>其中</w:t>
      </w:r>
      <w:r>
        <w:rPr>
          <w:rFonts w:hint="eastAsia" w:ascii="Times New Roman" w:hAnsi="宋体" w:eastAsia="宋体"/>
          <w:kern w:val="2"/>
          <w:szCs w:val="24"/>
          <w:highlight w:val="yellow"/>
        </w:rPr>
        <w:t>领跑者水平</w:t>
      </w:r>
      <w:r>
        <w:rPr>
          <w:rFonts w:hint="eastAsia" w:ascii="Times New Roman" w:hAnsi="宋体" w:eastAsia="宋体"/>
          <w:kern w:val="2"/>
          <w:szCs w:val="24"/>
        </w:rPr>
        <w:t>相当于企业标准排行榜中的5星级水平</w:t>
      </w:r>
      <w:r>
        <w:rPr>
          <w:rFonts w:hint="eastAsia" w:ascii="Times New Roman" w:hAnsi="宋体" w:eastAsia="宋体"/>
          <w:strike/>
          <w:kern w:val="2"/>
          <w:szCs w:val="24"/>
        </w:rPr>
        <w:t>，</w:t>
      </w:r>
      <w:r>
        <w:rPr>
          <w:rFonts w:hint="eastAsia" w:ascii="Times New Roman" w:hAnsi="宋体" w:eastAsia="宋体"/>
          <w:strike/>
          <w:kern w:val="2"/>
          <w:szCs w:val="24"/>
          <w:highlight w:val="yellow"/>
        </w:rPr>
        <w:t>优质水平</w:t>
      </w:r>
      <w:r>
        <w:rPr>
          <w:rFonts w:hint="eastAsia" w:ascii="Times New Roman" w:hAnsi="宋体" w:eastAsia="宋体"/>
          <w:strike/>
          <w:kern w:val="2"/>
          <w:szCs w:val="24"/>
        </w:rPr>
        <w:t>相当于企业标准排行榜中4星级水平</w:t>
      </w:r>
      <w:r>
        <w:rPr>
          <w:rFonts w:ascii="Times New Roman" w:hAnsi="宋体" w:eastAsia="宋体"/>
          <w:kern w:val="2"/>
          <w:szCs w:val="24"/>
        </w:rPr>
        <w:t>。</w:t>
      </w:r>
    </w:p>
    <w:p>
      <w:pPr>
        <w:pStyle w:val="65"/>
        <w:spacing w:line="300" w:lineRule="auto"/>
        <w:ind w:firstLine="0" w:firstLineChars="0"/>
        <w:rPr>
          <w:rFonts w:eastAsia="黑体"/>
        </w:rPr>
      </w:pPr>
      <w:r>
        <w:rPr>
          <w:rFonts w:hint="eastAsia" w:ascii="黑体" w:hAnsi="黑体" w:eastAsia="黑体" w:cs="黑体"/>
          <w:szCs w:val="21"/>
        </w:rPr>
        <w:t>5.2</w:t>
      </w:r>
      <w:r>
        <w:rPr>
          <w:rFonts w:hint="eastAsia" w:ascii="黑体" w:hAnsi="黑体" w:eastAsia="黑体" w:cs="Times New Roman"/>
          <w:szCs w:val="21"/>
        </w:rPr>
        <w:t>评价指标体系框架</w:t>
      </w:r>
    </w:p>
    <w:bookmarkEnd w:id="51"/>
    <w:p>
      <w:pPr>
        <w:spacing w:line="360" w:lineRule="auto"/>
        <w:rPr>
          <w:rFonts w:ascii="Times New Roman" w:hAnsi="Times New Roman"/>
        </w:rPr>
      </w:pPr>
      <w:r>
        <w:rPr>
          <w:rFonts w:hint="eastAsia" w:ascii="黑体" w:hAnsi="黑体" w:eastAsia="黑体" w:cs="黑体"/>
        </w:rPr>
        <w:t xml:space="preserve">5.2.1 </w:t>
      </w:r>
      <w:r>
        <w:rPr>
          <w:rFonts w:hint="eastAsia" w:ascii="Times New Roman" w:hAnsi="Times New Roman" w:cs="Times New Roman"/>
        </w:rPr>
        <w:t>家居用缓冲型抽屉导轨</w:t>
      </w:r>
      <w:r>
        <w:rPr>
          <w:rFonts w:hint="eastAsia" w:ascii="宋体" w:hAnsi="宋体" w:eastAsia="宋体" w:cs="宋体"/>
        </w:rPr>
        <w:t>评价指标体系框架符合</w:t>
      </w:r>
      <w:r>
        <w:rPr>
          <w:rFonts w:ascii="Times New Roman" w:hAnsi="Times New Roman" w:cs="Times New Roman"/>
        </w:rPr>
        <w:t>表1</w:t>
      </w:r>
      <w:r>
        <w:rPr>
          <w:rFonts w:hint="eastAsia" w:ascii="Times New Roman" w:hAnsi="Times New Roman" w:cs="Times New Roman"/>
        </w:rPr>
        <w:t>的规定</w:t>
      </w:r>
      <w:r>
        <w:rPr>
          <w:rFonts w:ascii="Times New Roman" w:hAnsi="Times New Roman" w:cs="Times New Roman"/>
        </w:rPr>
        <w:t>。</w:t>
      </w: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hint="eastAsia" w:ascii="黑体" w:hAnsi="黑体" w:eastAsia="黑体" w:cs="黑体"/>
          <w:szCs w:val="21"/>
        </w:rPr>
      </w:pPr>
    </w:p>
    <w:p>
      <w:pPr>
        <w:spacing w:after="156" w:afterLines="50"/>
        <w:ind w:firstLine="420" w:firstLineChars="200"/>
        <w:jc w:val="center"/>
        <w:rPr>
          <w:rFonts w:ascii="黑体" w:hAnsi="黑体" w:eastAsia="黑体" w:cs="黑体"/>
          <w:szCs w:val="21"/>
        </w:rPr>
      </w:pPr>
      <w:r>
        <w:rPr>
          <w:rFonts w:hint="eastAsia" w:ascii="黑体" w:hAnsi="黑体" w:eastAsia="黑体" w:cs="黑体"/>
          <w:szCs w:val="21"/>
        </w:rPr>
        <w:t>表</w:t>
      </w:r>
      <w:r>
        <w:rPr>
          <w:rFonts w:ascii="黑体" w:hAnsi="黑体" w:eastAsia="黑体" w:cs="黑体"/>
          <w:szCs w:val="21"/>
        </w:rPr>
        <w:t>1</w:t>
      </w:r>
      <w:bookmarkStart w:id="55" w:name="_Hlk42778042"/>
      <w:r>
        <w:rPr>
          <w:rFonts w:hint="eastAsia" w:ascii="黑体" w:hAnsi="黑体" w:eastAsia="黑体" w:cs="黑体"/>
          <w:szCs w:val="21"/>
        </w:rPr>
        <w:t xml:space="preserve"> 家居用缓冲型抽屉导轨评价指标体系</w:t>
      </w:r>
      <w:bookmarkEnd w:id="55"/>
      <w:r>
        <w:rPr>
          <w:rFonts w:hint="eastAsia" w:ascii="黑体" w:hAnsi="黑体" w:eastAsia="黑体" w:cs="黑体"/>
          <w:szCs w:val="21"/>
        </w:rPr>
        <w:t>框架</w:t>
      </w:r>
    </w:p>
    <w:tbl>
      <w:tblPr>
        <w:tblStyle w:val="27"/>
        <w:tblW w:w="10512" w:type="dxa"/>
        <w:jc w:val="center"/>
        <w:tblInd w:w="0" w:type="dxa"/>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
      <w:tblGrid>
        <w:gridCol w:w="573"/>
        <w:gridCol w:w="572"/>
        <w:gridCol w:w="1412"/>
        <w:gridCol w:w="1511"/>
        <w:gridCol w:w="1184"/>
        <w:gridCol w:w="1061"/>
        <w:gridCol w:w="1734"/>
        <w:gridCol w:w="2465"/>
      </w:tblGrid>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289" w:hRule="atLeast"/>
          <w:jc w:val="center"/>
        </w:trPr>
        <w:tc>
          <w:tcPr>
            <w:tcW w:w="573"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bookmarkStart w:id="56" w:name="_Hlk147413985"/>
            <w:r>
              <w:rPr>
                <w:rFonts w:hint="eastAsia" w:ascii="宋体" w:hAnsi="宋体" w:eastAsia="宋体" w:cs="宋体"/>
                <w:color w:val="000000" w:themeColor="text1"/>
                <w:kern w:val="0"/>
                <w14:textFill>
                  <w14:solidFill>
                    <w14:schemeClr w14:val="tx1"/>
                  </w14:solidFill>
                </w14:textFill>
              </w:rPr>
              <w:t>序号</w:t>
            </w:r>
          </w:p>
        </w:tc>
        <w:tc>
          <w:tcPr>
            <w:tcW w:w="572"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指标类型</w:t>
            </w:r>
          </w:p>
        </w:tc>
        <w:tc>
          <w:tcPr>
            <w:tcW w:w="1412"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评价指标</w:t>
            </w:r>
          </w:p>
        </w:tc>
        <w:tc>
          <w:tcPr>
            <w:tcW w:w="1511"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指标来源</w:t>
            </w:r>
          </w:p>
        </w:tc>
        <w:tc>
          <w:tcPr>
            <w:tcW w:w="3979" w:type="dxa"/>
            <w:gridSpan w:val="3"/>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指标水平分级</w:t>
            </w:r>
          </w:p>
        </w:tc>
        <w:tc>
          <w:tcPr>
            <w:tcW w:w="2465"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判断依据和方法</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451" w:hRule="atLeast"/>
          <w:jc w:val="center"/>
        </w:trPr>
        <w:tc>
          <w:tcPr>
            <w:tcW w:w="573"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511"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184" w:type="dxa"/>
            <w:vAlign w:val="center"/>
          </w:tcPr>
          <w:p>
            <w:pPr>
              <w:widowControl/>
              <w:spacing w:line="240" w:lineRule="exact"/>
              <w:jc w:val="center"/>
              <w:rPr>
                <w:rFonts w:ascii="黑体" w:hAnsi="黑体" w:eastAsia="黑体" w:cs="黑体"/>
                <w:kern w:val="0"/>
                <w:sz w:val="18"/>
                <w:szCs w:val="18"/>
              </w:rPr>
            </w:pPr>
            <w:r>
              <w:rPr>
                <w:rFonts w:hint="eastAsia" w:ascii="黑体" w:hAnsi="黑体" w:eastAsia="黑体" w:cs="黑体"/>
                <w:kern w:val="0"/>
                <w:sz w:val="18"/>
                <w:szCs w:val="18"/>
              </w:rPr>
              <w:t>领跑者水平</w:t>
            </w:r>
          </w:p>
          <w:p>
            <w:pPr>
              <w:widowControl/>
              <w:spacing w:line="240" w:lineRule="exact"/>
              <w:jc w:val="center"/>
              <w:rPr>
                <w:rFonts w:ascii="宋体" w:hAnsi="宋体" w:eastAsia="宋体" w:cs="宋体"/>
                <w:color w:val="000000" w:themeColor="text1"/>
                <w:kern w:val="0"/>
                <w14:textFill>
                  <w14:solidFill>
                    <w14:schemeClr w14:val="tx1"/>
                  </w14:solidFill>
                </w14:textFill>
              </w:rPr>
            </w:pPr>
            <w:r>
              <w:rPr>
                <w:rFonts w:hint="eastAsia" w:ascii="黑体" w:hAnsi="黑体" w:eastAsia="黑体" w:cs="黑体"/>
                <w:kern w:val="0"/>
                <w:sz w:val="18"/>
                <w:szCs w:val="18"/>
              </w:rPr>
              <w:t>（5星级）</w:t>
            </w:r>
          </w:p>
        </w:tc>
        <w:tc>
          <w:tcPr>
            <w:tcW w:w="1061" w:type="dxa"/>
            <w:vAlign w:val="center"/>
          </w:tcPr>
          <w:p>
            <w:pPr>
              <w:widowControl/>
              <w:spacing w:line="240" w:lineRule="exact"/>
              <w:jc w:val="center"/>
              <w:rPr>
                <w:rFonts w:ascii="黑体" w:hAnsi="黑体" w:eastAsia="黑体" w:cs="黑体"/>
                <w:kern w:val="0"/>
                <w:sz w:val="18"/>
                <w:szCs w:val="18"/>
              </w:rPr>
            </w:pPr>
            <w:r>
              <w:rPr>
                <w:rFonts w:hint="eastAsia" w:ascii="黑体" w:hAnsi="黑体" w:eastAsia="黑体" w:cs="黑体"/>
                <w:kern w:val="0"/>
                <w:sz w:val="18"/>
                <w:szCs w:val="18"/>
              </w:rPr>
              <w:t>优质水平</w:t>
            </w:r>
          </w:p>
          <w:p>
            <w:pPr>
              <w:widowControl/>
              <w:spacing w:line="240" w:lineRule="exact"/>
              <w:jc w:val="center"/>
              <w:rPr>
                <w:rFonts w:ascii="宋体" w:hAnsi="宋体" w:eastAsia="宋体" w:cs="宋体"/>
                <w:color w:val="000000" w:themeColor="text1"/>
                <w:kern w:val="0"/>
                <w14:textFill>
                  <w14:solidFill>
                    <w14:schemeClr w14:val="tx1"/>
                  </w14:solidFill>
                </w14:textFill>
              </w:rPr>
            </w:pPr>
            <w:r>
              <w:rPr>
                <w:rFonts w:hint="eastAsia" w:ascii="黑体" w:hAnsi="黑体" w:eastAsia="黑体" w:cs="黑体"/>
                <w:kern w:val="0"/>
                <w:sz w:val="18"/>
                <w:szCs w:val="18"/>
              </w:rPr>
              <w:t>（4星级）</w:t>
            </w:r>
          </w:p>
        </w:tc>
        <w:tc>
          <w:tcPr>
            <w:tcW w:w="1734" w:type="dxa"/>
            <w:vAlign w:val="center"/>
          </w:tcPr>
          <w:p>
            <w:pPr>
              <w:widowControl/>
              <w:spacing w:line="240" w:lineRule="exact"/>
              <w:jc w:val="center"/>
              <w:rPr>
                <w:rFonts w:ascii="黑体" w:hAnsi="黑体" w:eastAsia="黑体" w:cs="黑体"/>
                <w:kern w:val="0"/>
                <w:sz w:val="18"/>
                <w:szCs w:val="18"/>
              </w:rPr>
            </w:pPr>
            <w:r>
              <w:rPr>
                <w:rFonts w:hint="eastAsia" w:ascii="黑体" w:hAnsi="黑体" w:eastAsia="黑体" w:cs="黑体"/>
                <w:kern w:val="0"/>
                <w:sz w:val="18"/>
                <w:szCs w:val="18"/>
              </w:rPr>
              <w:t>达标水平</w:t>
            </w:r>
          </w:p>
          <w:p>
            <w:pPr>
              <w:widowControl/>
              <w:spacing w:line="240" w:lineRule="exact"/>
              <w:jc w:val="center"/>
              <w:rPr>
                <w:rFonts w:ascii="宋体" w:hAnsi="宋体" w:eastAsia="宋体" w:cs="宋体"/>
                <w:color w:val="000000" w:themeColor="text1"/>
                <w:kern w:val="0"/>
                <w14:textFill>
                  <w14:solidFill>
                    <w14:schemeClr w14:val="tx1"/>
                  </w14:solidFill>
                </w14:textFill>
              </w:rPr>
            </w:pPr>
            <w:r>
              <w:rPr>
                <w:rFonts w:hint="eastAsia" w:ascii="黑体" w:hAnsi="黑体" w:eastAsia="黑体" w:cs="黑体"/>
                <w:kern w:val="0"/>
                <w:sz w:val="18"/>
                <w:szCs w:val="18"/>
              </w:rPr>
              <w:t>（3星级）</w:t>
            </w:r>
          </w:p>
        </w:tc>
        <w:tc>
          <w:tcPr>
            <w:tcW w:w="2465"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4"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bookmarkStart w:id="57" w:name="_Hlk147414018"/>
            <w:r>
              <w:rPr>
                <w:rFonts w:hint="eastAsia" w:ascii="宋体" w:hAnsi="宋体" w:eastAsia="宋体" w:cs="宋体"/>
                <w:color w:val="000000" w:themeColor="text1"/>
                <w:kern w:val="0"/>
                <w14:textFill>
                  <w14:solidFill>
                    <w14:schemeClr w14:val="tx1"/>
                  </w14:solidFill>
                </w14:textFill>
              </w:rPr>
              <w:t>1</w:t>
            </w:r>
          </w:p>
        </w:tc>
        <w:tc>
          <w:tcPr>
            <w:tcW w:w="572"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基础指标</w:t>
            </w: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材料</w:t>
            </w:r>
          </w:p>
        </w:tc>
        <w:tc>
          <w:tcPr>
            <w:tcW w:w="1511"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GB/T 2518-2019</w:t>
            </w:r>
          </w:p>
        </w:tc>
        <w:tc>
          <w:tcPr>
            <w:tcW w:w="3979" w:type="dxa"/>
            <w:gridSpan w:val="3"/>
            <w:vAlign w:val="center"/>
          </w:tcPr>
          <w:p>
            <w:pPr>
              <w:snapToGrid w:val="0"/>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滑轨使用的原材料必须符合国家检定标准的低碳钢相应屈服强度和抗拉的材料</w:t>
            </w:r>
          </w:p>
        </w:tc>
        <w:tc>
          <w:tcPr>
            <w:tcW w:w="2465"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GB/T 2518-2019</w:t>
            </w:r>
          </w:p>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7.4</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689"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2</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垂直向下静载荷</w:t>
            </w:r>
          </w:p>
        </w:tc>
        <w:tc>
          <w:tcPr>
            <w:tcW w:w="1511" w:type="dxa"/>
            <w:vMerge w:val="restart"/>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sz w:val="18"/>
                <w:szCs w:val="18"/>
              </w:rPr>
              <w:t>QB/T 2454-2013</w:t>
            </w:r>
          </w:p>
        </w:tc>
        <w:tc>
          <w:tcPr>
            <w:tcW w:w="3979" w:type="dxa"/>
            <w:gridSpan w:val="3"/>
            <w:vMerge w:val="restart"/>
            <w:vAlign w:val="center"/>
          </w:tcPr>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所有组件或连接件不应断裂损坏；</w:t>
            </w:r>
          </w:p>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通过手触压证实，用于紧固的组件不应松动；</w:t>
            </w:r>
          </w:p>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所有零部件不应有影响正常运作的变形或磨损；</w:t>
            </w:r>
          </w:p>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五金连接件不应松动；</w:t>
            </w:r>
          </w:p>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所有组件的功能不应损害；</w:t>
            </w:r>
          </w:p>
          <w:p>
            <w:pPr>
              <w:numPr>
                <w:ilvl w:val="0"/>
                <w:numId w:val="3"/>
              </w:num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抽屉导轨及其组件不应分离</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ascii="宋体" w:hAnsi="宋体" w:eastAsia="宋体" w:cs="宋体"/>
                <w:bCs/>
                <w:color w:val="000000" w:themeColor="text1"/>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5.4.1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787"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3</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水平侧向静载荷</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ascii="宋体" w:hAnsi="宋体" w:eastAsia="宋体" w:cs="宋体"/>
                <w:bCs/>
                <w:color w:val="000000" w:themeColor="text1"/>
                <w:kern w:val="0"/>
                <w:sz w:val="18"/>
                <w:szCs w:val="18"/>
                <w14:textFill>
                  <w14:solidFill>
                    <w14:schemeClr w14:val="tx1"/>
                  </w14:solidFill>
                </w14:textFill>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5.4.2</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4</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猛关或猛开</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5.4.3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5</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抽屉导轨组件结构强度</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5.5.2</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6</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耐久性</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5.5.4</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7</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垂直向下静载荷</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8</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水平侧向静载荷</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5.5.7</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9</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拉出安全性</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5.5.8</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99" w:hRule="atLeast"/>
          <w:jc w:val="center"/>
        </w:trPr>
        <w:tc>
          <w:tcPr>
            <w:tcW w:w="573" w:type="dxa"/>
            <w:vAlign w:val="center"/>
          </w:tcPr>
          <w:p>
            <w:pPr>
              <w:snapToGrid w:val="0"/>
              <w:jc w:val="center"/>
              <w:rPr>
                <w:rFonts w:hint="eastAsia"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10</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snapToGrid w:val="0"/>
              <w:jc w:val="center"/>
              <w:rPr>
                <w:rFonts w:hint="eastAsia"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猛关或猛开</w:t>
            </w:r>
          </w:p>
        </w:tc>
        <w:tc>
          <w:tcPr>
            <w:tcW w:w="1511" w:type="dxa"/>
            <w:vMerge w:val="continue"/>
            <w:vAlign w:val="center"/>
          </w:tcPr>
          <w:p>
            <w:pPr>
              <w:snapToGrid w:val="0"/>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Merge w:val="continue"/>
            <w:vAlign w:val="center"/>
          </w:tcPr>
          <w:p>
            <w:pPr>
              <w:rPr>
                <w:rFonts w:eastAsia="宋体"/>
                <w:color w:val="0070C0"/>
              </w:rPr>
            </w:pP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hint="eastAsia" w:ascii="宋体" w:hAnsi="宋体" w:eastAsia="宋体" w:cs="宋体"/>
                <w:bCs/>
                <w:sz w:val="18"/>
                <w:szCs w:val="18"/>
              </w:rPr>
            </w:pPr>
            <w:r>
              <w:rPr>
                <w:rFonts w:hint="eastAsia" w:ascii="宋体" w:hAnsi="宋体" w:eastAsia="宋体" w:cs="宋体"/>
                <w:bCs/>
                <w:color w:val="000000" w:themeColor="text1"/>
                <w:sz w:val="18"/>
                <w:szCs w:val="18"/>
                <w14:textFill>
                  <w14:solidFill>
                    <w14:schemeClr w14:val="tx1"/>
                  </w14:solidFill>
                </w14:textFill>
              </w:rPr>
              <w:t>5.5.9</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03"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11</w:t>
            </w:r>
          </w:p>
        </w:tc>
        <w:tc>
          <w:tcPr>
            <w:tcW w:w="572"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核心指标</w:t>
            </w: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操作力</w:t>
            </w:r>
          </w:p>
        </w:tc>
        <w:tc>
          <w:tcPr>
            <w:tcW w:w="1511" w:type="dxa"/>
            <w:vMerge w:val="restart"/>
            <w:vAlign w:val="center"/>
          </w:tcPr>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sz w:val="18"/>
                <w:szCs w:val="18"/>
              </w:rPr>
              <w:t>QB/T 2454-2013</w:t>
            </w:r>
          </w:p>
        </w:tc>
        <w:tc>
          <w:tcPr>
            <w:tcW w:w="3979" w:type="dxa"/>
            <w:gridSpan w:val="3"/>
            <w:vAlign w:val="center"/>
          </w:tcPr>
          <w:p>
            <w:p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当M＜40 kg时，推力或拉力≤50 N；</w:t>
            </w:r>
          </w:p>
          <w:p>
            <w:p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当M≥40 kg时，推力或拉力≤0.125M；</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5.5.3</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69"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12</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抽屉导轨组件底部变形</w:t>
            </w:r>
          </w:p>
        </w:tc>
        <w:tc>
          <w:tcPr>
            <w:tcW w:w="1511" w:type="dxa"/>
            <w:vMerge w:val="continue"/>
            <w:vAlign w:val="center"/>
          </w:tcPr>
          <w:p>
            <w:pPr>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Align w:val="center"/>
          </w:tcPr>
          <w:p>
            <w:pP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变形量不应超过内部尺寸（宽度和深度）最窄部分的1/75</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5.5.1</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19"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13</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下沉量</w:t>
            </w:r>
          </w:p>
        </w:tc>
        <w:tc>
          <w:tcPr>
            <w:tcW w:w="1511" w:type="dxa"/>
            <w:vMerge w:val="continue"/>
            <w:vAlign w:val="center"/>
          </w:tcPr>
          <w:p>
            <w:pPr>
              <w:jc w:val="center"/>
              <w:rPr>
                <w:rFonts w:ascii="宋体" w:hAnsi="宋体" w:eastAsia="宋体" w:cs="宋体"/>
                <w:bCs/>
                <w:color w:val="000000" w:themeColor="text1"/>
                <w:kern w:val="0"/>
                <w:sz w:val="18"/>
                <w:szCs w:val="18"/>
                <w14:textFill>
                  <w14:solidFill>
                    <w14:schemeClr w14:val="tx1"/>
                  </w14:solidFill>
                </w14:textFill>
              </w:rPr>
            </w:pPr>
          </w:p>
        </w:tc>
        <w:tc>
          <w:tcPr>
            <w:tcW w:w="3979" w:type="dxa"/>
            <w:gridSpan w:val="3"/>
            <w:vAlign w:val="center"/>
          </w:tcPr>
          <w:p>
            <w:pPr>
              <w:snapToGrid w:val="0"/>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下沉量不应超过抽屉导轨拉出长度的4%</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5.5.5</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9"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14</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寿命测试</w:t>
            </w:r>
          </w:p>
          <w:p>
            <w:pPr>
              <w:jc w:val="center"/>
              <w:rPr>
                <w:rFonts w:ascii="宋体" w:hAnsi="宋体" w:eastAsia="宋体" w:cs="宋体"/>
                <w:color w:val="000000" w:themeColor="text1"/>
                <w:kern w:val="0"/>
                <w:sz w:val="18"/>
                <w:szCs w:val="18"/>
                <w14:textFill>
                  <w14:solidFill>
                    <w14:schemeClr w14:val="tx1"/>
                  </w14:solidFill>
                </w14:textFill>
              </w:rPr>
            </w:pPr>
            <w:r>
              <w:rPr>
                <w:rFonts w:hint="eastAsia" w:cs="黑体" w:asciiTheme="minorEastAsia" w:hAnsiTheme="minorEastAsia"/>
                <w:color w:val="000000" w:themeColor="text1"/>
                <w:kern w:val="0"/>
                <w:sz w:val="18"/>
                <w:szCs w:val="18"/>
                <w14:textFill>
                  <w14:solidFill>
                    <w14:schemeClr w14:val="tx1"/>
                  </w14:solidFill>
                </w14:textFill>
              </w:rPr>
              <w:t>（次）</w:t>
            </w:r>
          </w:p>
        </w:tc>
        <w:tc>
          <w:tcPr>
            <w:tcW w:w="1511" w:type="dxa"/>
            <w:vMerge w:val="continue"/>
            <w:vAlign w:val="center"/>
          </w:tcPr>
          <w:p>
            <w:pPr>
              <w:jc w:val="center"/>
              <w:rPr>
                <w:rFonts w:ascii="宋体" w:hAnsi="宋体" w:eastAsia="宋体" w:cs="宋体"/>
                <w:bCs/>
                <w:color w:val="000000" w:themeColor="text1"/>
                <w:kern w:val="0"/>
                <w:sz w:val="18"/>
                <w:szCs w:val="18"/>
                <w14:textFill>
                  <w14:solidFill>
                    <w14:schemeClr w14:val="tx1"/>
                  </w14:solidFill>
                </w14:textFill>
              </w:rPr>
            </w:pPr>
          </w:p>
        </w:tc>
        <w:tc>
          <w:tcPr>
            <w:tcW w:w="1184" w:type="dxa"/>
            <w:vAlign w:val="center"/>
          </w:tcPr>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80 000</w:t>
            </w:r>
          </w:p>
        </w:tc>
        <w:tc>
          <w:tcPr>
            <w:tcW w:w="1061" w:type="dxa"/>
            <w:vAlign w:val="center"/>
          </w:tcPr>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40 000</w:t>
            </w:r>
          </w:p>
        </w:tc>
        <w:tc>
          <w:tcPr>
            <w:tcW w:w="1734" w:type="dxa"/>
            <w:vAlign w:val="center"/>
          </w:tcPr>
          <w:p>
            <w:pPr>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kern w:val="0"/>
                <w:sz w:val="18"/>
                <w:szCs w:val="18"/>
                <w14:textFill>
                  <w14:solidFill>
                    <w14:schemeClr w14:val="tx1"/>
                  </w14:solidFill>
                </w14:textFill>
              </w:rPr>
              <w:t>20 000</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snapToGrid w:val="0"/>
              <w:jc w:val="center"/>
              <w:rPr>
                <w:rFonts w:ascii="宋体" w:hAnsi="宋体" w:eastAsia="宋体" w:cs="宋体"/>
                <w:bCs/>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B.2</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6"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15</w:t>
            </w:r>
          </w:p>
        </w:tc>
        <w:tc>
          <w:tcPr>
            <w:tcW w:w="572" w:type="dxa"/>
            <w:vMerge w:val="restart"/>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创新性指标</w:t>
            </w:r>
          </w:p>
        </w:tc>
        <w:tc>
          <w:tcPr>
            <w:tcW w:w="1412"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耐腐蚀</w:t>
            </w:r>
          </w:p>
        </w:tc>
        <w:tc>
          <w:tcPr>
            <w:tcW w:w="1511"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bCs/>
                <w:sz w:val="18"/>
                <w:szCs w:val="18"/>
              </w:rPr>
              <w:t>QB/T 2454-2013</w:t>
            </w:r>
          </w:p>
        </w:tc>
        <w:tc>
          <w:tcPr>
            <w:tcW w:w="3979" w:type="dxa"/>
            <w:gridSpan w:val="3"/>
          </w:tcPr>
          <w:p>
            <w:pPr>
              <w:jc w:val="left"/>
              <w:rPr>
                <w:rFonts w:ascii="宋体" w:hAnsi="宋体" w:eastAsia="宋体" w:cs="宋体"/>
                <w:color w:val="000000" w:themeColor="text1"/>
                <w:sz w:val="18"/>
                <w:szCs w:val="18"/>
                <w14:textFill>
                  <w14:solidFill>
                    <w14:schemeClr w14:val="tx1"/>
                  </w14:solidFill>
                </w14:textFill>
              </w:rPr>
            </w:pPr>
            <w:r>
              <w:rPr>
                <w:rFonts w:hint="eastAsia" w:ascii="宋体" w:hAnsi="宋体" w:eastAsia="宋体" w:cs="宋体"/>
                <w:color w:val="000000" w:themeColor="text1"/>
                <w:sz w:val="18"/>
                <w:szCs w:val="18"/>
                <w14:textFill>
                  <w14:solidFill>
                    <w14:schemeClr w14:val="tx1"/>
                  </w14:solidFill>
                </w14:textFill>
              </w:rPr>
              <w:t>18h，1.5mm以下锈点不应超过20点/dm</w:t>
            </w:r>
            <w:r>
              <w:rPr>
                <w:rFonts w:hint="eastAsia" w:ascii="宋体" w:hAnsi="宋体" w:eastAsia="宋体" w:cs="宋体"/>
                <w:color w:val="000000" w:themeColor="text1"/>
                <w:sz w:val="18"/>
                <w:szCs w:val="18"/>
                <w:vertAlign w:val="superscript"/>
                <w14:textFill>
                  <w14:solidFill>
                    <w14:schemeClr w14:val="tx1"/>
                  </w14:solidFill>
                </w14:textFill>
              </w:rPr>
              <w:t>2</w:t>
            </w:r>
            <w:r>
              <w:rPr>
                <w:rFonts w:hint="eastAsia" w:ascii="宋体" w:hAnsi="宋体" w:eastAsia="宋体" w:cs="宋体"/>
                <w:color w:val="000000" w:themeColor="text1"/>
                <w:sz w:val="18"/>
                <w:szCs w:val="18"/>
                <w14:textFill>
                  <w14:solidFill>
                    <w14:schemeClr w14:val="tx1"/>
                  </w14:solidFill>
                </w14:textFill>
              </w:rPr>
              <w:t>,其中直径1.0mm以上的锈点不应超过5点/dm</w:t>
            </w:r>
            <w:r>
              <w:rPr>
                <w:rFonts w:hint="eastAsia" w:ascii="宋体" w:hAnsi="宋体" w:eastAsia="宋体" w:cs="宋体"/>
                <w:color w:val="000000" w:themeColor="text1"/>
                <w:sz w:val="18"/>
                <w:szCs w:val="18"/>
                <w:vertAlign w:val="superscript"/>
                <w14:textFill>
                  <w14:solidFill>
                    <w14:schemeClr w14:val="tx1"/>
                  </w14:solidFill>
                </w14:textFill>
              </w:rPr>
              <w:t>2</w:t>
            </w:r>
            <w:r>
              <w:rPr>
                <w:rFonts w:hint="eastAsia" w:ascii="宋体" w:hAnsi="宋体" w:eastAsia="宋体" w:cs="宋体"/>
                <w:color w:val="000000" w:themeColor="text1"/>
                <w:sz w:val="18"/>
                <w:szCs w:val="18"/>
                <w14:textFill>
                  <w14:solidFill>
                    <w14:schemeClr w14:val="tx1"/>
                  </w14:solidFill>
                </w14:textFill>
              </w:rPr>
              <w:t>（距离边缘棱角2mm以内的不计）</w:t>
            </w:r>
          </w:p>
        </w:tc>
        <w:tc>
          <w:tcPr>
            <w:tcW w:w="2465" w:type="dxa"/>
            <w:vAlign w:val="center"/>
          </w:tcPr>
          <w:p>
            <w:pPr>
              <w:snapToGrid w:val="0"/>
              <w:jc w:val="center"/>
              <w:rPr>
                <w:rFonts w:ascii="宋体" w:hAnsi="宋体" w:eastAsia="宋体" w:cs="宋体"/>
                <w:bCs/>
                <w:sz w:val="18"/>
                <w:szCs w:val="18"/>
              </w:rPr>
            </w:pPr>
            <w:r>
              <w:rPr>
                <w:rFonts w:hint="eastAsia" w:ascii="宋体" w:hAnsi="宋体" w:eastAsia="宋体" w:cs="宋体"/>
                <w:bCs/>
                <w:sz w:val="18"/>
                <w:szCs w:val="18"/>
              </w:rPr>
              <w:t>QB/T 2454-2013</w:t>
            </w:r>
          </w:p>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bCs/>
                <w:color w:val="000000" w:themeColor="text1"/>
                <w:sz w:val="18"/>
                <w:szCs w:val="18"/>
                <w14:textFill>
                  <w14:solidFill>
                    <w14:schemeClr w14:val="tx1"/>
                  </w14:solidFill>
                </w14:textFill>
              </w:rPr>
              <w:t>5.6</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4"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16</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安全性能</w:t>
            </w:r>
          </w:p>
        </w:tc>
        <w:tc>
          <w:tcPr>
            <w:tcW w:w="1511" w:type="dxa"/>
            <w:vAlign w:val="center"/>
          </w:tcPr>
          <w:p>
            <w:pPr>
              <w:snapToGrid w:val="0"/>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sz w:val="18"/>
                <w:szCs w:val="18"/>
                <w14:textFill>
                  <w14:solidFill>
                    <w14:schemeClr w14:val="tx1"/>
                  </w14:solidFill>
                </w14:textFill>
              </w:rPr>
              <w:t>市场需求</w:t>
            </w:r>
          </w:p>
        </w:tc>
        <w:tc>
          <w:tcPr>
            <w:tcW w:w="3979" w:type="dxa"/>
            <w:gridSpan w:val="3"/>
            <w:vAlign w:val="center"/>
          </w:tcPr>
          <w:p>
            <w:pPr>
              <w:snapToGrid w:val="0"/>
              <w:jc w:val="left"/>
              <w:rPr>
                <w:rFonts w:ascii="宋体" w:hAnsi="宋体" w:eastAsia="宋体" w:cs="宋体"/>
                <w:color w:val="000000" w:themeColor="text1"/>
                <w:sz w:val="18"/>
                <w:szCs w:val="18"/>
                <w14:textFill>
                  <w14:solidFill>
                    <w14:schemeClr w14:val="tx1"/>
                  </w14:solidFill>
                </w14:textFill>
              </w:rPr>
            </w:pPr>
            <w:r>
              <w:rPr>
                <w:rFonts w:hint="eastAsia" w:ascii="宋体" w:hAnsi="宋体" w:eastAsia="宋体" w:cs="宋体"/>
                <w:color w:val="000000" w:themeColor="text1"/>
                <w:sz w:val="18"/>
                <w:szCs w:val="18"/>
                <w14:textFill>
                  <w14:solidFill>
                    <w14:schemeClr w14:val="tx1"/>
                  </w14:solidFill>
                </w14:textFill>
              </w:rPr>
              <w:t>缓冲功能有效起到防止夹手</w:t>
            </w:r>
          </w:p>
        </w:tc>
        <w:tc>
          <w:tcPr>
            <w:tcW w:w="2465" w:type="dxa"/>
            <w:vAlign w:val="center"/>
          </w:tcPr>
          <w:p>
            <w:pPr>
              <w:snapToGrid w:val="0"/>
              <w:ind w:firstLine="180" w:firstLineChars="100"/>
              <w:jc w:val="both"/>
              <w:rPr>
                <w:rFonts w:hint="eastAsia" w:ascii="宋体" w:hAnsi="宋体" w:eastAsia="宋体" w:cs="宋体"/>
                <w:color w:val="000000" w:themeColor="text1"/>
                <w:kern w:val="0"/>
                <w:sz w:val="18"/>
                <w:szCs w:val="18"/>
                <w:lang w:val="en-US" w:eastAsia="zh-CN"/>
                <w14:textFill>
                  <w14:solidFill>
                    <w14:schemeClr w14:val="tx1"/>
                  </w14:solidFill>
                </w14:textFill>
              </w:rPr>
            </w:pPr>
            <w:r>
              <w:rPr>
                <w:rFonts w:hint="eastAsia" w:ascii="宋体" w:hAnsi="宋体" w:eastAsia="宋体" w:cs="宋体"/>
                <w:color w:val="4F81BD" w:themeColor="accent1"/>
                <w:kern w:val="0"/>
                <w:sz w:val="18"/>
                <w:szCs w:val="18"/>
                <w:lang w:val="en-US" w:eastAsia="zh-CN"/>
                <w14:textFill>
                  <w14:solidFill>
                    <w14:schemeClr w14:val="accent1"/>
                  </w14:solidFill>
                </w14:textFill>
              </w:rPr>
              <w:t>缓冲</w:t>
            </w:r>
            <w:r>
              <w:rPr>
                <w:rFonts w:hint="eastAsia" w:ascii="宋体" w:hAnsi="宋体" w:eastAsia="宋体" w:cs="宋体"/>
                <w:color w:val="4F81BD" w:themeColor="accent1"/>
                <w:sz w:val="18"/>
                <w:szCs w:val="18"/>
                <w14:textFill>
                  <w14:solidFill>
                    <w14:schemeClr w14:val="accent1"/>
                  </w14:solidFill>
                </w14:textFill>
              </w:rPr>
              <w:t>防止夹手</w:t>
            </w:r>
            <w:r>
              <w:rPr>
                <w:rFonts w:hint="eastAsia" w:ascii="宋体" w:hAnsi="宋体" w:eastAsia="宋体" w:cs="宋体"/>
                <w:color w:val="4F81BD" w:themeColor="accent1"/>
                <w:kern w:val="0"/>
                <w:sz w:val="18"/>
                <w:szCs w:val="18"/>
                <w:lang w:val="en-US" w:eastAsia="zh-CN"/>
                <w14:textFill>
                  <w14:solidFill>
                    <w14:schemeClr w14:val="accent1"/>
                  </w14:solidFill>
                </w14:textFill>
              </w:rPr>
              <w:t>性能检验（按附录N实验方法）</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4"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17</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调节功能</w:t>
            </w:r>
          </w:p>
        </w:tc>
        <w:tc>
          <w:tcPr>
            <w:tcW w:w="1511" w:type="dxa"/>
            <w:vAlign w:val="center"/>
          </w:tcPr>
          <w:p>
            <w:pPr>
              <w:snapToGrid w:val="0"/>
              <w:jc w:val="center"/>
              <w:rPr>
                <w:rFonts w:ascii="宋体" w:hAnsi="宋体" w:eastAsia="宋体" w:cs="宋体"/>
                <w:color w:val="000000" w:themeColor="text1"/>
                <w:sz w:val="18"/>
                <w:szCs w:val="18"/>
                <w14:textFill>
                  <w14:solidFill>
                    <w14:schemeClr w14:val="tx1"/>
                  </w14:solidFill>
                </w14:textFill>
              </w:rPr>
            </w:pPr>
            <w:r>
              <w:rPr>
                <w:rFonts w:hint="eastAsia" w:ascii="宋体" w:hAnsi="宋体" w:eastAsia="宋体" w:cs="宋体"/>
                <w:color w:val="000000" w:themeColor="text1"/>
                <w:sz w:val="18"/>
                <w:szCs w:val="18"/>
                <w14:textFill>
                  <w14:solidFill>
                    <w14:schemeClr w14:val="tx1"/>
                  </w14:solidFill>
                </w14:textFill>
              </w:rPr>
              <w:t>市场需求</w:t>
            </w:r>
          </w:p>
        </w:tc>
        <w:tc>
          <w:tcPr>
            <w:tcW w:w="3979" w:type="dxa"/>
            <w:gridSpan w:val="3"/>
            <w:vAlign w:val="center"/>
          </w:tcPr>
          <w:p>
            <w:pPr>
              <w:snapToGrid w:val="0"/>
              <w:jc w:val="left"/>
              <w:rPr>
                <w:rFonts w:hint="eastAsia" w:ascii="宋体" w:hAnsi="宋体" w:eastAsia="宋体" w:cs="宋体"/>
                <w:color w:val="000000" w:themeColor="text1"/>
                <w:kern w:val="0"/>
                <w:sz w:val="18"/>
                <w:szCs w:val="18"/>
                <w:lang w:val="en-US" w:eastAsia="zh-CN"/>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上下/左右调节,方便用户</w:t>
            </w:r>
            <w:r>
              <w:rPr>
                <w:rFonts w:hint="eastAsia" w:ascii="宋体" w:hAnsi="宋体" w:eastAsia="宋体" w:cs="宋体"/>
                <w:color w:val="4F81BD" w:themeColor="accent1"/>
                <w:kern w:val="0"/>
                <w:sz w:val="18"/>
                <w:szCs w:val="18"/>
                <w:lang w:eastAsia="zh-CN"/>
                <w14:textFill>
                  <w14:solidFill>
                    <w14:schemeClr w14:val="accent1"/>
                  </w14:solidFill>
                </w14:textFill>
              </w:rPr>
              <w:t>使用调节</w:t>
            </w:r>
          </w:p>
        </w:tc>
        <w:tc>
          <w:tcPr>
            <w:tcW w:w="2465" w:type="dxa"/>
            <w:vAlign w:val="center"/>
          </w:tcPr>
          <w:p>
            <w:pPr>
              <w:snapToGrid w:val="0"/>
              <w:jc w:val="center"/>
              <w:rPr>
                <w:rFonts w:hint="default" w:ascii="宋体" w:hAnsi="宋体" w:eastAsia="宋体" w:cs="宋体"/>
                <w:color w:val="000000" w:themeColor="text1"/>
                <w:kern w:val="0"/>
                <w:sz w:val="18"/>
                <w:szCs w:val="18"/>
                <w:lang w:val="en-US" w:eastAsia="zh-CN"/>
                <w14:textFill>
                  <w14:solidFill>
                    <w14:schemeClr w14:val="tx1"/>
                  </w14:solidFill>
                </w14:textFill>
              </w:rPr>
            </w:pPr>
            <w:r>
              <w:rPr>
                <w:rFonts w:hint="eastAsia" w:ascii="宋体" w:hAnsi="宋体" w:eastAsia="宋体" w:cs="宋体"/>
                <w:color w:val="4F81BD" w:themeColor="accent1"/>
                <w:kern w:val="0"/>
                <w:sz w:val="18"/>
                <w:szCs w:val="18"/>
                <w:lang w:eastAsia="zh-CN"/>
                <w14:textFill>
                  <w14:solidFill>
                    <w14:schemeClr w14:val="accent1"/>
                  </w14:solidFill>
                </w14:textFill>
              </w:rPr>
              <w:t>加装连接件，上下</w:t>
            </w:r>
            <w:r>
              <w:rPr>
                <w:rFonts w:hint="eastAsia" w:ascii="宋体" w:hAnsi="宋体" w:eastAsia="宋体" w:cs="宋体"/>
                <w:color w:val="4F81BD" w:themeColor="accent1"/>
                <w:kern w:val="0"/>
                <w:sz w:val="18"/>
                <w:szCs w:val="18"/>
                <w:lang w:val="en-US" w:eastAsia="zh-CN"/>
                <w14:textFill>
                  <w14:solidFill>
                    <w14:schemeClr w14:val="accent1"/>
                  </w14:solidFill>
                </w14:textFill>
              </w:rPr>
              <w:t>/</w:t>
            </w:r>
            <w:r>
              <w:rPr>
                <w:rFonts w:hint="eastAsia" w:ascii="宋体" w:hAnsi="宋体" w:eastAsia="宋体" w:cs="宋体"/>
                <w:color w:val="4F81BD" w:themeColor="accent1"/>
                <w:kern w:val="0"/>
                <w:sz w:val="18"/>
                <w:szCs w:val="18"/>
                <w:lang w:eastAsia="zh-CN"/>
                <w14:textFill>
                  <w14:solidFill>
                    <w14:schemeClr w14:val="accent1"/>
                  </w14:solidFill>
                </w14:textFill>
              </w:rPr>
              <w:t>左右调节功能检验（按附录</w:t>
            </w:r>
            <w:r>
              <w:rPr>
                <w:rFonts w:hint="eastAsia" w:ascii="宋体" w:hAnsi="宋体" w:eastAsia="宋体" w:cs="宋体"/>
                <w:color w:val="4F81BD" w:themeColor="accent1"/>
                <w:kern w:val="0"/>
                <w:sz w:val="18"/>
                <w:szCs w:val="18"/>
                <w:lang w:val="en-US" w:eastAsia="zh-CN"/>
                <w14:textFill>
                  <w14:solidFill>
                    <w14:schemeClr w14:val="accent1"/>
                  </w14:solidFill>
                </w14:textFill>
              </w:rPr>
              <w:t>P实验方法）</w:t>
            </w:r>
          </w:p>
        </w:tc>
      </w:tr>
      <w:tr>
        <w:tblPrEx>
          <w:tblBorders>
            <w:top w:val="single" w:color="auto" w:sz="8" w:space="0"/>
            <w:left w:val="single" w:color="auto" w:sz="8" w:space="0"/>
            <w:bottom w:val="single" w:color="auto" w:sz="8" w:space="0"/>
            <w:right w:val="single" w:color="auto" w:sz="8" w:space="0"/>
            <w:insideH w:val="single" w:color="auto" w:sz="8" w:space="0"/>
            <w:insideV w:val="single" w:color="auto" w:sz="8" w:space="0"/>
          </w:tblBorders>
          <w:tblLayout w:type="fixed"/>
          <w:tblCellMar>
            <w:top w:w="0" w:type="dxa"/>
            <w:left w:w="108" w:type="dxa"/>
            <w:bottom w:w="0" w:type="dxa"/>
            <w:right w:w="108" w:type="dxa"/>
          </w:tblCellMar>
        </w:tblPrEx>
        <w:trPr>
          <w:trHeight w:val="554" w:hRule="atLeast"/>
          <w:jc w:val="center"/>
        </w:trPr>
        <w:tc>
          <w:tcPr>
            <w:tcW w:w="573" w:type="dxa"/>
            <w:vAlign w:val="center"/>
          </w:tcPr>
          <w:p>
            <w:pPr>
              <w:snapToGrid w:val="0"/>
              <w:jc w:val="center"/>
              <w:rPr>
                <w:rFonts w:ascii="宋体" w:hAnsi="宋体" w:eastAsia="宋体" w:cs="宋体"/>
                <w:color w:val="000000" w:themeColor="text1"/>
                <w:kern w:val="0"/>
                <w14:textFill>
                  <w14:solidFill>
                    <w14:schemeClr w14:val="tx1"/>
                  </w14:solidFill>
                </w14:textFill>
              </w:rPr>
            </w:pPr>
            <w:r>
              <w:rPr>
                <w:rFonts w:hint="eastAsia" w:ascii="宋体" w:hAnsi="宋体" w:eastAsia="宋体" w:cs="宋体"/>
                <w:color w:val="000000" w:themeColor="text1"/>
                <w:kern w:val="0"/>
                <w14:textFill>
                  <w14:solidFill>
                    <w14:schemeClr w14:val="tx1"/>
                  </w14:solidFill>
                </w14:textFill>
              </w:rPr>
              <w:t>18</w:t>
            </w:r>
          </w:p>
        </w:tc>
        <w:tc>
          <w:tcPr>
            <w:tcW w:w="572" w:type="dxa"/>
            <w:vMerge w:val="continue"/>
            <w:vAlign w:val="center"/>
          </w:tcPr>
          <w:p>
            <w:pPr>
              <w:snapToGrid w:val="0"/>
              <w:jc w:val="center"/>
              <w:rPr>
                <w:rFonts w:ascii="宋体" w:hAnsi="宋体" w:eastAsia="宋体" w:cs="宋体"/>
                <w:color w:val="000000" w:themeColor="text1"/>
                <w:kern w:val="0"/>
                <w14:textFill>
                  <w14:solidFill>
                    <w14:schemeClr w14:val="tx1"/>
                  </w14:solidFill>
                </w14:textFill>
              </w:rPr>
            </w:pPr>
          </w:p>
        </w:tc>
        <w:tc>
          <w:tcPr>
            <w:tcW w:w="1412" w:type="dxa"/>
            <w:vAlign w:val="center"/>
          </w:tcPr>
          <w:p>
            <w:pPr>
              <w:jc w:val="center"/>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快速拆装功能</w:t>
            </w:r>
          </w:p>
        </w:tc>
        <w:tc>
          <w:tcPr>
            <w:tcW w:w="1511" w:type="dxa"/>
            <w:vAlign w:val="center"/>
          </w:tcPr>
          <w:p>
            <w:pPr>
              <w:snapToGrid w:val="0"/>
              <w:jc w:val="center"/>
              <w:rPr>
                <w:rFonts w:ascii="宋体" w:hAnsi="宋体" w:eastAsia="宋体" w:cs="宋体"/>
                <w:color w:val="000000" w:themeColor="text1"/>
                <w:sz w:val="18"/>
                <w:szCs w:val="18"/>
                <w14:textFill>
                  <w14:solidFill>
                    <w14:schemeClr w14:val="tx1"/>
                  </w14:solidFill>
                </w14:textFill>
              </w:rPr>
            </w:pPr>
            <w:r>
              <w:rPr>
                <w:rFonts w:hint="eastAsia" w:ascii="宋体" w:hAnsi="宋体" w:eastAsia="宋体" w:cs="宋体"/>
                <w:color w:val="000000" w:themeColor="text1"/>
                <w:sz w:val="18"/>
                <w:szCs w:val="18"/>
                <w14:textFill>
                  <w14:solidFill>
                    <w14:schemeClr w14:val="tx1"/>
                  </w14:solidFill>
                </w14:textFill>
              </w:rPr>
              <w:t>市场需求</w:t>
            </w:r>
          </w:p>
        </w:tc>
        <w:tc>
          <w:tcPr>
            <w:tcW w:w="3979" w:type="dxa"/>
            <w:gridSpan w:val="3"/>
            <w:vAlign w:val="center"/>
          </w:tcPr>
          <w:p>
            <w:pPr>
              <w:snapToGrid w:val="0"/>
              <w:jc w:val="left"/>
              <w:rPr>
                <w:rFonts w:ascii="宋体" w:hAnsi="宋体" w:eastAsia="宋体" w:cs="宋体"/>
                <w:color w:val="000000" w:themeColor="text1"/>
                <w:kern w:val="0"/>
                <w:sz w:val="18"/>
                <w:szCs w:val="18"/>
                <w14:textFill>
                  <w14:solidFill>
                    <w14:schemeClr w14:val="tx1"/>
                  </w14:solidFill>
                </w14:textFill>
              </w:rPr>
            </w:pPr>
            <w:r>
              <w:rPr>
                <w:rFonts w:hint="eastAsia" w:ascii="宋体" w:hAnsi="宋体" w:eastAsia="宋体" w:cs="宋体"/>
                <w:color w:val="000000" w:themeColor="text1"/>
                <w:kern w:val="0"/>
                <w:sz w:val="18"/>
                <w:szCs w:val="18"/>
                <w14:textFill>
                  <w14:solidFill>
                    <w14:schemeClr w14:val="tx1"/>
                  </w14:solidFill>
                </w14:textFill>
              </w:rPr>
              <w:t>抽屉免用工具快速拆装,方便清洁</w:t>
            </w:r>
          </w:p>
        </w:tc>
        <w:tc>
          <w:tcPr>
            <w:tcW w:w="2465" w:type="dxa"/>
            <w:vAlign w:val="center"/>
          </w:tcPr>
          <w:p>
            <w:pPr>
              <w:snapToGrid w:val="0"/>
              <w:jc w:val="center"/>
              <w:rPr>
                <w:rFonts w:hint="eastAsia" w:ascii="宋体" w:hAnsi="宋体" w:eastAsia="宋体" w:cs="宋体"/>
                <w:color w:val="000000" w:themeColor="text1"/>
                <w:kern w:val="0"/>
                <w:sz w:val="18"/>
                <w:szCs w:val="18"/>
                <w:lang w:eastAsia="zh-CN"/>
                <w14:textFill>
                  <w14:solidFill>
                    <w14:schemeClr w14:val="tx1"/>
                  </w14:solidFill>
                </w14:textFill>
              </w:rPr>
            </w:pPr>
            <w:r>
              <w:rPr>
                <w:rFonts w:hint="eastAsia" w:ascii="宋体" w:hAnsi="宋体" w:eastAsia="宋体" w:cs="宋体"/>
                <w:color w:val="4F81BD" w:themeColor="accent1"/>
                <w:kern w:val="0"/>
                <w:sz w:val="18"/>
                <w:szCs w:val="18"/>
                <w:lang w:eastAsia="zh-CN"/>
                <w14:textFill>
                  <w14:solidFill>
                    <w14:schemeClr w14:val="accent1"/>
                  </w14:solidFill>
                </w14:textFill>
              </w:rPr>
              <w:t>加装连接件，快速拆装功能检验（按附录</w:t>
            </w:r>
            <w:r>
              <w:rPr>
                <w:rFonts w:hint="eastAsia" w:ascii="宋体" w:hAnsi="宋体" w:eastAsia="宋体" w:cs="宋体"/>
                <w:color w:val="4F81BD" w:themeColor="accent1"/>
                <w:kern w:val="0"/>
                <w:sz w:val="18"/>
                <w:szCs w:val="18"/>
                <w:lang w:val="en-US" w:eastAsia="zh-CN"/>
                <w14:textFill>
                  <w14:solidFill>
                    <w14:schemeClr w14:val="accent1"/>
                  </w14:solidFill>
                </w14:textFill>
              </w:rPr>
              <w:t>Q实验方法</w:t>
            </w:r>
            <w:r>
              <w:rPr>
                <w:rFonts w:hint="eastAsia" w:ascii="宋体" w:hAnsi="宋体" w:eastAsia="宋体" w:cs="宋体"/>
                <w:color w:val="4F81BD" w:themeColor="accent1"/>
                <w:kern w:val="0"/>
                <w:sz w:val="18"/>
                <w:szCs w:val="18"/>
                <w:lang w:eastAsia="zh-CN"/>
                <w14:textFill>
                  <w14:solidFill>
                    <w14:schemeClr w14:val="accent1"/>
                  </w14:solidFill>
                </w14:textFill>
              </w:rPr>
              <w:t>）</w:t>
            </w:r>
          </w:p>
        </w:tc>
      </w:tr>
      <w:bookmarkEnd w:id="56"/>
      <w:bookmarkEnd w:id="57"/>
    </w:tbl>
    <w:p>
      <w:pPr>
        <w:pStyle w:val="2"/>
        <w:spacing w:before="0" w:after="0"/>
        <w:rPr>
          <w:rFonts w:hint="eastAsia" w:ascii="黑体" w:hAnsi="黑体" w:eastAsia="黑体"/>
          <w:b w:val="0"/>
          <w:sz w:val="24"/>
          <w:szCs w:val="24"/>
          <w:highlight w:val="yellow"/>
        </w:rPr>
      </w:pPr>
      <w:bookmarkStart w:id="58" w:name="_Toc35353330"/>
      <w:bookmarkStart w:id="59" w:name="_Toc353278168"/>
      <w:bookmarkStart w:id="60" w:name="_Toc324165077"/>
      <w:bookmarkStart w:id="61" w:name="_Toc323891250"/>
      <w:bookmarkStart w:id="62" w:name="_Toc323891329"/>
      <w:bookmarkStart w:id="63" w:name="_Toc324165027"/>
    </w:p>
    <w:p>
      <w:pPr>
        <w:pStyle w:val="2"/>
        <w:spacing w:before="0" w:after="0"/>
        <w:rPr>
          <w:rFonts w:ascii="黑体" w:hAnsi="黑体" w:eastAsia="黑体"/>
          <w:b w:val="0"/>
          <w:sz w:val="24"/>
          <w:szCs w:val="24"/>
          <w:highlight w:val="yellow"/>
        </w:rPr>
      </w:pPr>
      <w:r>
        <w:rPr>
          <w:rFonts w:hint="eastAsia" w:ascii="黑体" w:hAnsi="黑体" w:eastAsia="黑体"/>
          <w:b w:val="0"/>
          <w:sz w:val="24"/>
          <w:szCs w:val="24"/>
          <w:highlight w:val="yellow"/>
        </w:rPr>
        <w:t xml:space="preserve">6 </w:t>
      </w:r>
      <w:bookmarkEnd w:id="58"/>
      <w:r>
        <w:rPr>
          <w:rFonts w:hint="eastAsia" w:ascii="黑体" w:hAnsi="黑体" w:eastAsia="黑体"/>
          <w:b w:val="0"/>
          <w:sz w:val="24"/>
          <w:szCs w:val="24"/>
          <w:highlight w:val="yellow"/>
        </w:rPr>
        <w:t>评价方法及等级划分</w:t>
      </w:r>
    </w:p>
    <w:p>
      <w:pPr>
        <w:spacing w:line="276" w:lineRule="auto"/>
        <w:rPr>
          <w:rFonts w:ascii="Times New Roman" w:hAnsi="Times New Roman"/>
          <w:highlight w:val="yellow"/>
        </w:rPr>
      </w:pPr>
      <w:r>
        <w:rPr>
          <w:rFonts w:hint="eastAsia" w:ascii="黑体" w:hAnsi="黑体" w:eastAsia="黑体"/>
          <w:highlight w:val="yellow"/>
        </w:rPr>
        <w:t>6.1</w:t>
      </w:r>
      <w:r>
        <w:rPr>
          <w:rFonts w:hint="eastAsia" w:ascii="Times New Roman" w:hAnsi="Times New Roman"/>
          <w:highlight w:val="yellow"/>
        </w:rPr>
        <w:t xml:space="preserve"> 对具体产品企业标准的全部指标进行综合评价，</w:t>
      </w:r>
      <w:r>
        <w:rPr>
          <w:rFonts w:hint="eastAsia" w:ascii="宋体" w:hAnsi="宋体" w:eastAsia="宋体"/>
          <w:highlight w:val="yellow"/>
        </w:rPr>
        <w:t>评价结果划分为领跑者水平、优质水平、达标水平，划分依据见表2</w:t>
      </w:r>
      <w:r>
        <w:rPr>
          <w:rFonts w:hint="eastAsia" w:ascii="Times New Roman" w:hAnsi="Times New Roman"/>
          <w:highlight w:val="yellow"/>
        </w:rPr>
        <w:t>。</w:t>
      </w:r>
    </w:p>
    <w:bookmarkEnd w:id="59"/>
    <w:bookmarkEnd w:id="60"/>
    <w:bookmarkEnd w:id="61"/>
    <w:bookmarkEnd w:id="62"/>
    <w:bookmarkEnd w:id="63"/>
    <w:p>
      <w:pPr>
        <w:spacing w:line="276" w:lineRule="auto"/>
        <w:rPr>
          <w:highlight w:val="yellow"/>
        </w:rPr>
      </w:pPr>
      <w:r>
        <w:rPr>
          <w:rFonts w:hint="eastAsia" w:ascii="黑体" w:hAnsi="黑体" w:eastAsia="黑体" w:cs="黑体"/>
          <w:highlight w:val="yellow"/>
        </w:rPr>
        <w:t>6.2</w:t>
      </w:r>
      <w:r>
        <w:rPr>
          <w:rFonts w:hint="eastAsia" w:ascii="Times New Roman" w:hAnsi="Times New Roman"/>
          <w:highlight w:val="yellow"/>
        </w:rPr>
        <w:t xml:space="preserve"> </w:t>
      </w:r>
      <w:r>
        <w:rPr>
          <w:rFonts w:hint="eastAsia" w:ascii="宋体" w:hAnsi="宋体" w:eastAsia="宋体"/>
          <w:highlight w:val="yellow"/>
        </w:rPr>
        <w:t>综合评价满足表2中领跑者水平的企业标准为“领跑者”标准，符合表2中领跑者水平的产品为“领跑者”产品，自我声明标识可使用T/CSTE 0421中4.4图4-1自我声明“领跑者”标识，认证标识可使用T/CSTE 0421中4.5图5-1“领跑者”产品认证标识</w:t>
      </w:r>
      <w:r>
        <w:rPr>
          <w:rFonts w:hint="eastAsia"/>
          <w:highlight w:val="yellow"/>
        </w:rPr>
        <w:t>。</w:t>
      </w:r>
    </w:p>
    <w:p>
      <w:pPr>
        <w:spacing w:line="276" w:lineRule="auto"/>
        <w:rPr>
          <w:highlight w:val="yellow"/>
        </w:rPr>
      </w:pPr>
      <w:r>
        <w:rPr>
          <w:rFonts w:hint="eastAsia" w:ascii="黑体" w:hAnsi="黑体" w:eastAsia="黑体" w:cs="黑体"/>
          <w:highlight w:val="yellow"/>
        </w:rPr>
        <w:t>6.3</w:t>
      </w:r>
      <w:r>
        <w:rPr>
          <w:rFonts w:hint="eastAsia" w:ascii="Times New Roman" w:hAnsi="Times New Roman"/>
          <w:highlight w:val="yellow"/>
        </w:rPr>
        <w:t xml:space="preserve"> </w:t>
      </w:r>
      <w:r>
        <w:rPr>
          <w:rFonts w:hint="eastAsia" w:ascii="宋体" w:hAnsi="宋体" w:eastAsia="宋体"/>
          <w:highlight w:val="yellow"/>
        </w:rPr>
        <w:t>综合评价满足表2中优质水平的企业标准为“优质”标准，符合表2中优质水平的产品为“优质”产品，自我声明标识可使用T/CSTE 0421中4.4图4-2自我声明“优质”标识，认证标识可使用T/CSTE 0421中4.5图5-2“优质”产品认证标识</w:t>
      </w:r>
      <w:r>
        <w:rPr>
          <w:rFonts w:hint="eastAsia"/>
          <w:highlight w:val="yellow"/>
        </w:rPr>
        <w:t>。</w:t>
      </w:r>
    </w:p>
    <w:p>
      <w:pPr>
        <w:spacing w:line="276" w:lineRule="auto"/>
        <w:rPr>
          <w:highlight w:val="yellow"/>
        </w:rPr>
      </w:pPr>
      <w:r>
        <w:rPr>
          <w:rFonts w:hint="eastAsia" w:ascii="黑体" w:hAnsi="黑体" w:eastAsia="黑体" w:cs="黑体"/>
          <w:highlight w:val="yellow"/>
        </w:rPr>
        <w:t>6.4</w:t>
      </w:r>
      <w:r>
        <w:rPr>
          <w:rFonts w:hint="eastAsia" w:ascii="Times New Roman" w:hAnsi="Times New Roman"/>
          <w:highlight w:val="yellow"/>
        </w:rPr>
        <w:t xml:space="preserve"> </w:t>
      </w:r>
      <w:r>
        <w:rPr>
          <w:rFonts w:hint="eastAsia" w:ascii="宋体" w:hAnsi="宋体" w:eastAsia="宋体"/>
          <w:highlight w:val="yellow"/>
        </w:rPr>
        <w:t>综合评价满足表2中达标水平的企业标准为“达标”标准，符合表2中达标水平的产品为“达标”产品，自我声明标识可使用T/CSTE 0421中4.4图4-3自我声明“达标”标识，认证标识可使用T/CSTE 0421中4.5图5-3“达标”产品认证标识</w:t>
      </w:r>
      <w:r>
        <w:rPr>
          <w:rFonts w:hint="eastAsia"/>
          <w:highlight w:val="yellow"/>
        </w:rPr>
        <w:t>。</w:t>
      </w:r>
    </w:p>
    <w:p>
      <w:pPr>
        <w:pStyle w:val="33"/>
        <w:numPr>
          <w:ilvl w:val="0"/>
          <w:numId w:val="2"/>
        </w:numPr>
        <w:spacing w:before="156" w:beforeLines="50" w:line="240" w:lineRule="exact"/>
        <w:ind w:firstLineChars="0"/>
        <w:jc w:val="center"/>
        <w:rPr>
          <w:rFonts w:ascii="黑体" w:eastAsia="黑体"/>
          <w:highlight w:val="yellow"/>
        </w:rPr>
      </w:pPr>
    </w:p>
    <w:p>
      <w:pPr>
        <w:pStyle w:val="33"/>
        <w:numPr>
          <w:ilvl w:val="0"/>
          <w:numId w:val="2"/>
        </w:numPr>
        <w:spacing w:before="156" w:beforeLines="50" w:line="240" w:lineRule="exact"/>
        <w:ind w:firstLineChars="0"/>
        <w:jc w:val="center"/>
        <w:rPr>
          <w:rFonts w:ascii="黑体" w:eastAsia="黑体"/>
          <w:highlight w:val="yellow"/>
        </w:rPr>
      </w:pPr>
    </w:p>
    <w:p>
      <w:pPr>
        <w:pStyle w:val="33"/>
        <w:numPr>
          <w:ilvl w:val="0"/>
          <w:numId w:val="2"/>
        </w:numPr>
        <w:spacing w:before="156" w:beforeLines="50" w:line="240" w:lineRule="exact"/>
        <w:ind w:firstLineChars="0"/>
        <w:jc w:val="center"/>
        <w:rPr>
          <w:rFonts w:ascii="黑体" w:eastAsia="黑体"/>
          <w:highlight w:val="yellow"/>
        </w:rPr>
      </w:pPr>
    </w:p>
    <w:p>
      <w:pPr>
        <w:pStyle w:val="33"/>
        <w:numPr>
          <w:ilvl w:val="0"/>
          <w:numId w:val="2"/>
        </w:numPr>
        <w:spacing w:before="156" w:beforeLines="50" w:line="240" w:lineRule="exact"/>
        <w:ind w:firstLineChars="0"/>
        <w:jc w:val="center"/>
        <w:rPr>
          <w:rFonts w:ascii="黑体" w:eastAsia="黑体"/>
          <w:highlight w:val="yellow"/>
        </w:rPr>
      </w:pPr>
    </w:p>
    <w:p>
      <w:pPr>
        <w:pStyle w:val="33"/>
        <w:numPr>
          <w:ilvl w:val="0"/>
          <w:numId w:val="2"/>
        </w:numPr>
        <w:spacing w:before="156" w:beforeLines="50" w:line="240" w:lineRule="exact"/>
        <w:ind w:firstLineChars="0"/>
        <w:jc w:val="center"/>
        <w:rPr>
          <w:rFonts w:ascii="黑体" w:eastAsia="黑体"/>
          <w:highlight w:val="yellow"/>
        </w:rPr>
      </w:pPr>
    </w:p>
    <w:p>
      <w:pPr>
        <w:pStyle w:val="33"/>
        <w:numPr>
          <w:ilvl w:val="0"/>
          <w:numId w:val="2"/>
        </w:numPr>
        <w:spacing w:before="156" w:beforeLines="50" w:line="240" w:lineRule="exact"/>
        <w:ind w:firstLineChars="0"/>
        <w:jc w:val="center"/>
        <w:rPr>
          <w:rFonts w:ascii="黑体" w:eastAsia="黑体"/>
          <w:highlight w:val="yellow"/>
        </w:rPr>
      </w:pPr>
      <w:r>
        <w:rPr>
          <w:rFonts w:hint="eastAsia" w:ascii="黑体" w:eastAsia="黑体"/>
          <w:highlight w:val="yellow"/>
        </w:rPr>
        <w:t>表2 指标评价要求及等级划分</w:t>
      </w:r>
    </w:p>
    <w:tbl>
      <w:tblPr>
        <w:tblStyle w:val="26"/>
        <w:tblpPr w:leftFromText="180" w:rightFromText="180" w:vertAnchor="text" w:horzAnchor="page" w:tblpX="1146" w:tblpY="295"/>
        <w:tblOverlap w:val="never"/>
        <w:tblW w:w="9834" w:type="dxa"/>
        <w:tblInd w:w="0"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1276"/>
        <w:gridCol w:w="1120"/>
        <w:gridCol w:w="1810"/>
        <w:gridCol w:w="3279"/>
        <w:gridCol w:w="2349"/>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351" w:hRule="atLeast"/>
        </w:trPr>
        <w:tc>
          <w:tcPr>
            <w:tcW w:w="1276" w:type="dxa"/>
            <w:tcBorders>
              <w:top w:val="single" w:color="000000" w:sz="12" w:space="0"/>
              <w:bottom w:val="single" w:color="000000" w:sz="12" w:space="0"/>
            </w:tcBorders>
            <w:shd w:val="clear" w:color="auto" w:fill="auto"/>
            <w:vAlign w:val="center"/>
          </w:tcPr>
          <w:p>
            <w:pPr>
              <w:pStyle w:val="33"/>
              <w:ind w:firstLine="0" w:firstLineChars="0"/>
              <w:jc w:val="center"/>
              <w:rPr>
                <w:rFonts w:ascii="黑体" w:hAnsi="黑体" w:eastAsia="黑体" w:cs="黑体"/>
                <w:sz w:val="18"/>
                <w:szCs w:val="18"/>
                <w:highlight w:val="yellow"/>
              </w:rPr>
            </w:pPr>
            <w:bookmarkStart w:id="64" w:name="_Hlk35975549"/>
            <w:r>
              <w:rPr>
                <w:rFonts w:hint="eastAsia" w:ascii="黑体" w:hAnsi="黑体" w:eastAsia="黑体" w:cs="黑体"/>
                <w:sz w:val="18"/>
                <w:szCs w:val="18"/>
                <w:highlight w:val="yellow"/>
              </w:rPr>
              <w:t>标准等级</w:t>
            </w:r>
          </w:p>
        </w:tc>
        <w:tc>
          <w:tcPr>
            <w:tcW w:w="8558" w:type="dxa"/>
            <w:gridSpan w:val="4"/>
            <w:tcBorders>
              <w:top w:val="single" w:color="000000" w:sz="12" w:space="0"/>
              <w:bottom w:val="single" w:color="000000" w:sz="12" w:space="0"/>
            </w:tcBorders>
            <w:shd w:val="clear" w:color="auto" w:fill="auto"/>
            <w:vAlign w:val="center"/>
          </w:tcPr>
          <w:p>
            <w:pPr>
              <w:spacing w:line="360" w:lineRule="auto"/>
              <w:jc w:val="center"/>
              <w:rPr>
                <w:rFonts w:ascii="黑体" w:hAnsi="黑体" w:eastAsia="黑体" w:cs="黑体"/>
                <w:sz w:val="18"/>
                <w:szCs w:val="18"/>
                <w:highlight w:val="yellow"/>
              </w:rPr>
            </w:pPr>
            <w:r>
              <w:rPr>
                <w:rFonts w:hint="eastAsia" w:ascii="黑体" w:hAnsi="黑体" w:eastAsia="黑体" w:cs="黑体"/>
                <w:sz w:val="18"/>
                <w:szCs w:val="18"/>
                <w:highlight w:val="yellow"/>
              </w:rPr>
              <w:t>满足条件</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567" w:hRule="atLeast"/>
        </w:trPr>
        <w:tc>
          <w:tcPr>
            <w:tcW w:w="1276" w:type="dxa"/>
            <w:tcBorders>
              <w:top w:val="single" w:color="000000" w:sz="12" w:space="0"/>
            </w:tcBorders>
            <w:shd w:val="clear" w:color="auto" w:fill="auto"/>
            <w:vAlign w:val="center"/>
          </w:tcPr>
          <w:p>
            <w:pPr>
              <w:pStyle w:val="33"/>
              <w:ind w:firstLine="0" w:firstLineChars="0"/>
              <w:jc w:val="center"/>
              <w:rPr>
                <w:rFonts w:hAnsi="宋体" w:eastAsia="宋体" w:cs="宋体"/>
                <w:sz w:val="18"/>
                <w:szCs w:val="18"/>
                <w:highlight w:val="yellow"/>
              </w:rPr>
            </w:pPr>
            <w:r>
              <w:rPr>
                <w:rFonts w:hint="eastAsia" w:hAnsi="宋体" w:eastAsia="宋体" w:cs="宋体"/>
                <w:sz w:val="18"/>
                <w:szCs w:val="18"/>
                <w:highlight w:val="yellow"/>
              </w:rPr>
              <w:t>领跑者水平</w:t>
            </w:r>
          </w:p>
        </w:tc>
        <w:tc>
          <w:tcPr>
            <w:tcW w:w="1120" w:type="dxa"/>
            <w:vMerge w:val="restart"/>
            <w:tcBorders>
              <w:top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基本要求</w:t>
            </w:r>
          </w:p>
        </w:tc>
        <w:tc>
          <w:tcPr>
            <w:tcW w:w="1810" w:type="dxa"/>
            <w:vMerge w:val="restart"/>
            <w:tcBorders>
              <w:top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基础指标要求</w:t>
            </w:r>
          </w:p>
        </w:tc>
        <w:tc>
          <w:tcPr>
            <w:tcW w:w="3279" w:type="dxa"/>
            <w:tcBorders>
              <w:top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核心指标领跑者水平（5星级）要求</w:t>
            </w:r>
          </w:p>
        </w:tc>
        <w:tc>
          <w:tcPr>
            <w:tcW w:w="2349" w:type="dxa"/>
            <w:tcBorders>
              <w:top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创新指标要求（可选）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567" w:hRule="atLeast"/>
        </w:trPr>
        <w:tc>
          <w:tcPr>
            <w:tcW w:w="1276" w:type="dxa"/>
            <w:tcBorders>
              <w:bottom w:val="single" w:color="000000" w:sz="4" w:space="0"/>
            </w:tcBorders>
            <w:shd w:val="clear" w:color="auto" w:fill="auto"/>
            <w:vAlign w:val="center"/>
          </w:tcPr>
          <w:p>
            <w:pPr>
              <w:pStyle w:val="33"/>
              <w:ind w:firstLine="0" w:firstLineChars="0"/>
              <w:jc w:val="center"/>
              <w:rPr>
                <w:rFonts w:hAnsi="宋体" w:eastAsia="宋体" w:cs="宋体"/>
                <w:sz w:val="18"/>
                <w:szCs w:val="18"/>
                <w:highlight w:val="yellow"/>
              </w:rPr>
            </w:pPr>
            <w:r>
              <w:rPr>
                <w:rFonts w:hint="eastAsia" w:hAnsi="宋体" w:eastAsia="宋体" w:cs="宋体"/>
                <w:sz w:val="18"/>
                <w:szCs w:val="18"/>
                <w:highlight w:val="yellow"/>
              </w:rPr>
              <w:t>优质水平</w:t>
            </w:r>
          </w:p>
        </w:tc>
        <w:tc>
          <w:tcPr>
            <w:tcW w:w="1120" w:type="dxa"/>
            <w:vMerge w:val="continue"/>
            <w:shd w:val="clear" w:color="auto" w:fill="auto"/>
            <w:vAlign w:val="center"/>
          </w:tcPr>
          <w:p>
            <w:pPr>
              <w:adjustRightInd w:val="0"/>
              <w:snapToGrid w:val="0"/>
              <w:jc w:val="center"/>
              <w:rPr>
                <w:rFonts w:ascii="宋体" w:hAnsi="宋体" w:eastAsia="宋体" w:cs="宋体"/>
                <w:sz w:val="18"/>
                <w:szCs w:val="18"/>
                <w:highlight w:val="yellow"/>
              </w:rPr>
            </w:pPr>
          </w:p>
        </w:tc>
        <w:tc>
          <w:tcPr>
            <w:tcW w:w="1810" w:type="dxa"/>
            <w:vMerge w:val="continue"/>
            <w:shd w:val="clear" w:color="auto" w:fill="auto"/>
            <w:vAlign w:val="center"/>
          </w:tcPr>
          <w:p>
            <w:pPr>
              <w:adjustRightInd w:val="0"/>
              <w:snapToGrid w:val="0"/>
              <w:jc w:val="center"/>
              <w:rPr>
                <w:rFonts w:ascii="宋体" w:hAnsi="宋体" w:eastAsia="宋体" w:cs="宋体"/>
                <w:sz w:val="18"/>
                <w:szCs w:val="18"/>
                <w:highlight w:val="yellow"/>
              </w:rPr>
            </w:pPr>
          </w:p>
        </w:tc>
        <w:tc>
          <w:tcPr>
            <w:tcW w:w="3279" w:type="dxa"/>
            <w:tcBorders>
              <w:bottom w:val="single" w:color="000000" w:sz="4"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核心指标优质水平（4星级）要求</w:t>
            </w:r>
          </w:p>
        </w:tc>
        <w:tc>
          <w:tcPr>
            <w:tcW w:w="2349" w:type="dxa"/>
            <w:tcBorders>
              <w:bottom w:val="single" w:color="000000" w:sz="4"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创新指标要求（可选）</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Ex>
        <w:trPr>
          <w:trHeight w:val="567" w:hRule="atLeast"/>
        </w:trPr>
        <w:tc>
          <w:tcPr>
            <w:tcW w:w="1276" w:type="dxa"/>
            <w:tcBorders>
              <w:top w:val="single" w:color="000000" w:sz="4" w:space="0"/>
              <w:bottom w:val="single" w:color="000000" w:sz="12" w:space="0"/>
            </w:tcBorders>
            <w:shd w:val="clear" w:color="auto" w:fill="auto"/>
            <w:vAlign w:val="center"/>
          </w:tcPr>
          <w:p>
            <w:pPr>
              <w:pStyle w:val="33"/>
              <w:ind w:firstLine="0" w:firstLineChars="0"/>
              <w:jc w:val="center"/>
              <w:rPr>
                <w:rFonts w:hAnsi="宋体" w:eastAsia="宋体" w:cs="宋体"/>
                <w:sz w:val="18"/>
                <w:szCs w:val="18"/>
                <w:highlight w:val="yellow"/>
              </w:rPr>
            </w:pPr>
            <w:r>
              <w:rPr>
                <w:rFonts w:hint="eastAsia" w:hAnsi="宋体" w:eastAsia="宋体" w:cs="宋体"/>
                <w:sz w:val="18"/>
                <w:szCs w:val="18"/>
                <w:highlight w:val="yellow"/>
              </w:rPr>
              <w:t>达标水平</w:t>
            </w:r>
          </w:p>
        </w:tc>
        <w:tc>
          <w:tcPr>
            <w:tcW w:w="1120" w:type="dxa"/>
            <w:vMerge w:val="continue"/>
            <w:tcBorders>
              <w:bottom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p>
        </w:tc>
        <w:tc>
          <w:tcPr>
            <w:tcW w:w="1810" w:type="dxa"/>
            <w:vMerge w:val="continue"/>
            <w:tcBorders>
              <w:bottom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p>
        </w:tc>
        <w:tc>
          <w:tcPr>
            <w:tcW w:w="3279" w:type="dxa"/>
            <w:tcBorders>
              <w:top w:val="single" w:color="000000" w:sz="4" w:space="0"/>
              <w:bottom w:val="single" w:color="000000" w:sz="12" w:space="0"/>
            </w:tcBorders>
            <w:shd w:val="clear" w:color="auto" w:fill="auto"/>
            <w:vAlign w:val="center"/>
          </w:tcPr>
          <w:p>
            <w:pPr>
              <w:adjustRightInd w:val="0"/>
              <w:snapToGrid w:val="0"/>
              <w:jc w:val="center"/>
              <w:rPr>
                <w:rFonts w:ascii="宋体" w:hAnsi="宋体" w:eastAsia="宋体" w:cs="宋体"/>
                <w:sz w:val="18"/>
                <w:szCs w:val="18"/>
                <w:highlight w:val="yellow"/>
              </w:rPr>
            </w:pPr>
            <w:r>
              <w:rPr>
                <w:rFonts w:hint="eastAsia" w:ascii="宋体" w:hAnsi="宋体" w:eastAsia="宋体" w:cs="宋体"/>
                <w:sz w:val="18"/>
                <w:szCs w:val="18"/>
                <w:highlight w:val="yellow"/>
              </w:rPr>
              <w:t>核心指标达标水平（3星级）要求</w:t>
            </w:r>
          </w:p>
        </w:tc>
        <w:tc>
          <w:tcPr>
            <w:tcW w:w="2349" w:type="dxa"/>
            <w:tcBorders>
              <w:top w:val="single" w:color="000000" w:sz="4" w:space="0"/>
              <w:bottom w:val="single" w:color="000000" w:sz="12" w:space="0"/>
            </w:tcBorders>
            <w:shd w:val="clear" w:color="auto" w:fill="auto"/>
            <w:vAlign w:val="center"/>
          </w:tcPr>
          <w:p>
            <w:pPr>
              <w:pStyle w:val="33"/>
              <w:ind w:firstLine="0" w:firstLineChars="0"/>
              <w:jc w:val="center"/>
              <w:rPr>
                <w:rFonts w:hAnsi="宋体" w:eastAsia="宋体" w:cs="宋体"/>
                <w:sz w:val="18"/>
                <w:szCs w:val="18"/>
                <w:highlight w:val="yellow"/>
              </w:rPr>
            </w:pPr>
            <w:r>
              <w:rPr>
                <w:rFonts w:hint="eastAsia" w:hAnsi="宋体" w:eastAsia="宋体" w:cs="宋体"/>
                <w:sz w:val="18"/>
                <w:szCs w:val="18"/>
                <w:highlight w:val="yellow"/>
              </w:rPr>
              <w:t>—</w:t>
            </w:r>
          </w:p>
        </w:tc>
      </w:tr>
      <w:bookmarkEnd w:id="64"/>
    </w:tbl>
    <w:p>
      <w:pPr>
        <w:pStyle w:val="33"/>
        <w:numPr>
          <w:ilvl w:val="0"/>
          <w:numId w:val="2"/>
        </w:numPr>
        <w:spacing w:before="156" w:beforeLines="50" w:after="156" w:afterLines="50"/>
        <w:ind w:firstLineChars="0"/>
        <w:jc w:val="center"/>
        <w:rPr>
          <w:rFonts w:ascii="黑体" w:eastAsia="黑体"/>
        </w:rPr>
      </w:pPr>
    </w:p>
    <w:bookmarkEnd w:id="45"/>
    <w:bookmarkEnd w:id="46"/>
    <w:bookmarkEnd w:id="47"/>
    <w:bookmarkEnd w:id="48"/>
    <w:bookmarkEnd w:id="49"/>
    <w:bookmarkEnd w:id="50"/>
    <w:bookmarkEnd w:id="52"/>
    <w:bookmarkEnd w:id="53"/>
    <w:bookmarkEnd w:id="54"/>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rPr>
          <w:rFonts w:ascii="Times New Roman" w:hAnsi="Times New Roman"/>
        </w:rPr>
      </w:pPr>
    </w:p>
    <w:p>
      <w:pPr>
        <w:ind w:firstLine="3990" w:firstLineChars="1900"/>
        <w:rPr>
          <w:rFonts w:hint="default" w:ascii="Times New Roman" w:hAnsi="Times New Roman"/>
          <w:lang w:val="en-US" w:eastAsia="zh-CN"/>
        </w:rPr>
      </w:pPr>
      <w:r>
        <w:rPr>
          <w:rFonts w:hint="eastAsia" w:ascii="Times New Roman" w:hAnsi="Times New Roman"/>
          <w:lang w:val="en-US" w:eastAsia="zh-CN"/>
        </w:rPr>
        <w:t xml:space="preserve"> 附 录  A</w:t>
      </w:r>
    </w:p>
    <w:p>
      <w:pPr>
        <w:ind w:firstLine="210" w:firstLineChars="100"/>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试验设备</w:t>
      </w:r>
    </w:p>
    <w:p>
      <w:pPr>
        <w:numPr>
          <w:ilvl w:val="0"/>
          <w:numId w:val="4"/>
        </w:numPr>
        <w:rPr>
          <w:rFonts w:hint="eastAsia" w:ascii="Times New Roman" w:hAnsi="Times New Roman"/>
          <w:lang w:val="en-US" w:eastAsia="zh-CN"/>
        </w:rPr>
      </w:pPr>
      <w:r>
        <w:rPr>
          <w:rFonts w:hint="eastAsia" w:ascii="Times New Roman" w:hAnsi="Times New Roman"/>
          <w:lang w:val="en-US" w:eastAsia="zh-CN"/>
        </w:rPr>
        <w:t>1测试框架和抽屉</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A.1.1 测试框架必须具备一定的强度，在外加负荷情况下，测试框架变形量不应超过1mm。</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A.1.2 安装抽屉导轨的两块框架侧板外表面的距离由制造商提供，如制造商没有规定，该距离取值为</w:t>
      </w:r>
    </w:p>
    <w:p>
      <w:pPr>
        <w:numPr>
          <w:ilvl w:val="0"/>
          <w:numId w:val="0"/>
        </w:numPr>
        <w:rPr>
          <w:rFonts w:hint="eastAsia" w:ascii="Times New Roman" w:hAnsi="Times New Roman"/>
          <w:lang w:val="en-US" w:eastAsia="zh-CN"/>
        </w:rPr>
      </w:pPr>
      <w:r>
        <w:rPr>
          <w:rFonts w:hint="eastAsia" w:ascii="Times New Roman" w:hAnsi="Times New Roman"/>
          <w:lang w:val="en-US" w:eastAsia="zh-CN"/>
        </w:rPr>
        <w:t>（590±10）mm</w:t>
      </w: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A.1.3 测试所用抽屉尺寸和质量由制造商提供，如制造商没有规定，抽屉面板的长度、宽度分别取</w:t>
      </w:r>
    </w:p>
    <w:p>
      <w:pPr>
        <w:numPr>
          <w:ilvl w:val="0"/>
          <w:numId w:val="0"/>
        </w:numPr>
        <w:rPr>
          <w:rFonts w:hint="eastAsia" w:ascii="Times New Roman" w:hAnsi="Times New Roman"/>
          <w:lang w:val="en-US" w:eastAsia="zh-CN"/>
        </w:rPr>
      </w:pPr>
      <w:r>
        <w:rPr>
          <w:rFonts w:hint="eastAsia" w:ascii="Times New Roman" w:hAnsi="Times New Roman"/>
          <w:lang w:val="en-US" w:eastAsia="zh-CN"/>
        </w:rPr>
        <w:t>（570±10）mm、（140±10）mm，抽屉质量取（4±1）kg</w:t>
      </w: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A.1.4 力加载点作用于抽屉面板垂直中心线顶端以下50mm处。（见图一）</w:t>
      </w:r>
    </w:p>
    <w:p>
      <w:pPr>
        <w:numPr>
          <w:ilvl w:val="0"/>
          <w:numId w:val="0"/>
        </w:numPr>
        <w:ind w:firstLine="210" w:firstLineChars="100"/>
        <w:rPr>
          <w:rFonts w:hint="eastAsia" w:ascii="Times New Roman" w:hAnsi="Times New Roman"/>
          <w:lang w:val="en-US" w:eastAsia="zh-CN"/>
        </w:rPr>
      </w:pPr>
      <w:r>
        <w:drawing>
          <wp:anchor distT="0" distB="0" distL="114300" distR="114300" simplePos="0" relativeHeight="251665408" behindDoc="0" locked="0" layoutInCell="1" allowOverlap="1">
            <wp:simplePos x="0" y="0"/>
            <wp:positionH relativeFrom="column">
              <wp:posOffset>238125</wp:posOffset>
            </wp:positionH>
            <wp:positionV relativeFrom="paragraph">
              <wp:posOffset>64135</wp:posOffset>
            </wp:positionV>
            <wp:extent cx="5553710" cy="4982210"/>
            <wp:effectExtent l="0" t="0" r="8890" b="889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rcRect l="19753" t="37344" r="19057" b="4403"/>
                    <a:stretch>
                      <a:fillRect/>
                    </a:stretch>
                  </pic:blipFill>
                  <pic:spPr>
                    <a:xfrm>
                      <a:off x="0" y="0"/>
                      <a:ext cx="5553710" cy="4982210"/>
                    </a:xfrm>
                    <a:prstGeom prst="rect">
                      <a:avLst/>
                    </a:prstGeom>
                    <a:noFill/>
                    <a:ln>
                      <a:noFill/>
                    </a:ln>
                  </pic:spPr>
                </pic:pic>
              </a:graphicData>
            </a:graphic>
          </wp:anchor>
        </w:drawing>
      </w: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ind w:firstLine="210" w:firstLineChars="100"/>
        <w:rPr>
          <w:rFonts w:hint="eastAsia" w:ascii="Times New Roman" w:hAnsi="Times New Roman"/>
          <w:lang w:val="en-US" w:eastAsia="zh-CN"/>
        </w:rPr>
      </w:pPr>
    </w:p>
    <w:p>
      <w:pPr>
        <w:numPr>
          <w:ilvl w:val="0"/>
          <w:numId w:val="0"/>
        </w:numPr>
        <w:ind w:firstLine="4410" w:firstLineChars="2100"/>
        <w:rPr>
          <w:rFonts w:hint="eastAsia" w:ascii="Times New Roman" w:hAnsi="Times New Roman"/>
          <w:lang w:val="en-US" w:eastAsia="zh-CN"/>
        </w:rPr>
      </w:pPr>
      <w:r>
        <w:rPr>
          <w:rFonts w:hint="eastAsia" w:ascii="Times New Roman" w:hAnsi="Times New Roman"/>
          <w:lang w:val="en-US" w:eastAsia="zh-CN"/>
        </w:rPr>
        <w:t>图  一</w:t>
      </w:r>
    </w:p>
    <w:p>
      <w:pPr>
        <w:numPr>
          <w:ilvl w:val="0"/>
          <w:numId w:val="0"/>
        </w:numPr>
        <w:rPr>
          <w:rFonts w:hint="eastAsia" w:ascii="Times New Roman" w:hAnsi="Times New Roman"/>
          <w:lang w:val="en-US" w:eastAsia="zh-CN"/>
        </w:rPr>
      </w:pPr>
      <w:r>
        <w:rPr>
          <w:rFonts w:hint="eastAsia" w:ascii="Times New Roman" w:hAnsi="Times New Roman"/>
          <w:lang w:val="en-US" w:eastAsia="zh-CN"/>
        </w:rPr>
        <w:t>A.2 实验样品</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本标准规定的实验需使用3副抽屉导轨样品。</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----1副用于过载实验</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----1副用于功能实验</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----1副用于耐腐蚀实验</w:t>
      </w:r>
    </w:p>
    <w:p>
      <w:pPr>
        <w:numPr>
          <w:ilvl w:val="0"/>
          <w:numId w:val="0"/>
        </w:numPr>
        <w:ind w:firstLine="4410" w:firstLineChars="2100"/>
        <w:rPr>
          <w:rFonts w:hint="eastAsia" w:ascii="Times New Roman" w:hAnsi="Times New Roman"/>
          <w:lang w:val="en-US" w:eastAsia="zh-CN"/>
        </w:rPr>
      </w:pPr>
    </w:p>
    <w:p>
      <w:pPr>
        <w:numPr>
          <w:ilvl w:val="0"/>
          <w:numId w:val="0"/>
        </w:numPr>
        <w:ind w:firstLine="4410" w:firstLineChars="2100"/>
        <w:rPr>
          <w:rFonts w:hint="eastAsia" w:ascii="Times New Roman" w:hAnsi="Times New Roman"/>
          <w:lang w:val="en-US" w:eastAsia="zh-CN"/>
        </w:rPr>
      </w:pPr>
    </w:p>
    <w:p>
      <w:pPr>
        <w:numPr>
          <w:ilvl w:val="0"/>
          <w:numId w:val="0"/>
        </w:numPr>
        <w:ind w:firstLine="4410" w:firstLineChars="2100"/>
        <w:rPr>
          <w:rFonts w:hint="eastAsia" w:ascii="Times New Roman" w:hAnsi="Times New Roman"/>
          <w:lang w:val="en-US" w:eastAsia="zh-CN"/>
        </w:rPr>
      </w:pPr>
    </w:p>
    <w:p>
      <w:pPr>
        <w:numPr>
          <w:ilvl w:val="0"/>
          <w:numId w:val="0"/>
        </w:numPr>
        <w:ind w:firstLine="4410" w:firstLineChars="2100"/>
        <w:rPr>
          <w:rFonts w:hint="eastAsia" w:ascii="Times New Roman" w:hAnsi="Times New Roman"/>
          <w:lang w:val="en-US" w:eastAsia="zh-CN"/>
        </w:rPr>
      </w:pPr>
    </w:p>
    <w:p>
      <w:pPr>
        <w:numPr>
          <w:ilvl w:val="0"/>
          <w:numId w:val="0"/>
        </w:numPr>
        <w:ind w:firstLine="4410" w:firstLineChars="2100"/>
        <w:rPr>
          <w:rFonts w:hint="eastAsia" w:ascii="Times New Roman" w:hAnsi="Times New Roman"/>
          <w:lang w:val="en-US" w:eastAsia="zh-CN"/>
        </w:rPr>
      </w:pPr>
    </w:p>
    <w:p>
      <w:pPr>
        <w:ind w:firstLine="3990" w:firstLineChars="1900"/>
        <w:rPr>
          <w:rFonts w:hint="default" w:ascii="Times New Roman" w:hAnsi="Times New Roman"/>
          <w:lang w:val="en-US" w:eastAsia="zh-CN"/>
        </w:rPr>
      </w:pPr>
      <w:r>
        <w:rPr>
          <w:rFonts w:hint="eastAsia" w:ascii="Times New Roman" w:hAnsi="Times New Roman"/>
          <w:lang w:val="en-US" w:eastAsia="zh-CN"/>
        </w:rPr>
        <w:t xml:space="preserve"> 附 录  B</w:t>
      </w:r>
    </w:p>
    <w:p>
      <w:pPr>
        <w:rPr>
          <w:rFonts w:hint="eastAsia"/>
        </w:rPr>
      </w:pPr>
      <w:r>
        <w:rPr>
          <w:rFonts w:hint="eastAsia" w:ascii="Times New Roman" w:hAnsi="Times New Roman"/>
          <w:lang w:val="en-US" w:eastAsia="zh-CN"/>
        </w:rPr>
        <w:t xml:space="preserve">                                      </w:t>
      </w:r>
      <w:r>
        <w:rPr>
          <w:rFonts w:hint="eastAsia"/>
        </w:rPr>
        <w:t>（规范性）</w:t>
      </w:r>
    </w:p>
    <w:p>
      <w:pPr>
        <w:rPr>
          <w:rFonts w:hint="eastAsia" w:eastAsiaTheme="minorEastAsia"/>
          <w:lang w:val="en-US" w:eastAsia="zh-CN"/>
        </w:rPr>
      </w:pPr>
      <w:r>
        <w:rPr>
          <w:rFonts w:hint="eastAsia"/>
          <w:lang w:val="en-US" w:eastAsia="zh-CN"/>
        </w:rPr>
        <w:t xml:space="preserve">                                  垂直向下静载荷实验</w:t>
      </w: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实验方法：</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B.1 抽屉导轨均布加载实验负荷（实验负荷根据不同导轨负荷不一样）</w:t>
      </w:r>
    </w:p>
    <w:p>
      <w:pPr>
        <w:numPr>
          <w:ilvl w:val="0"/>
          <w:numId w:val="0"/>
        </w:numPr>
        <w:ind w:firstLine="420" w:firstLineChars="200"/>
        <w:rPr>
          <w:rFonts w:hint="eastAsia" w:ascii="Times New Roman" w:hAnsi="Times New Roman" w:eastAsiaTheme="minorEastAsia"/>
          <w:lang w:val="en-US" w:eastAsia="zh-CN"/>
        </w:rPr>
      </w:pPr>
      <w:r>
        <w:rPr>
          <w:rFonts w:hint="eastAsia" w:ascii="Times New Roman" w:hAnsi="Times New Roman"/>
          <w:lang w:val="en-US" w:eastAsia="zh-CN"/>
        </w:rPr>
        <w:t xml:space="preserve"> B.2 将抽屉导轨拉出至限位状态，在抽屉面板顶端一角按附录L表中规定的力垂直向下加载10次（见图二）。加力速度尽量缓慢，施加的每次载荷保持10-15秒。</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B.3 过载实验按附录L表 L.1选择参数。功能实验按附录L表L.2选择参数。</w:t>
      </w:r>
    </w:p>
    <w:p>
      <w:pPr>
        <w:numPr>
          <w:ilvl w:val="0"/>
          <w:numId w:val="0"/>
        </w:numPr>
        <w:ind w:firstLine="420" w:firstLineChars="200"/>
        <w:rPr>
          <w:rFonts w:hint="default" w:ascii="Times New Roman" w:hAnsi="Times New Roman"/>
          <w:lang w:val="en-US" w:eastAsia="zh-CN"/>
        </w:rPr>
      </w:pPr>
      <w:r>
        <w:rPr>
          <w:rFonts w:hint="eastAsia" w:ascii="Times New Roman" w:hAnsi="Times New Roman"/>
          <w:lang w:val="en-US" w:eastAsia="zh-CN"/>
        </w:rPr>
        <w:t>B.4 卸载后再检查导轨</w:t>
      </w: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ind w:firstLine="210" w:firstLineChars="100"/>
        <w:rPr>
          <w:rFonts w:hint="eastAsia" w:ascii="Times New Roman" w:hAnsi="Times New Roman"/>
          <w:lang w:val="en-US" w:eastAsia="zh-CN"/>
        </w:rPr>
      </w:pPr>
      <w:r>
        <w:drawing>
          <wp:anchor distT="0" distB="0" distL="114300" distR="114300" simplePos="0" relativeHeight="251666432" behindDoc="0" locked="0" layoutInCell="1" allowOverlap="1">
            <wp:simplePos x="0" y="0"/>
            <wp:positionH relativeFrom="column">
              <wp:posOffset>737870</wp:posOffset>
            </wp:positionH>
            <wp:positionV relativeFrom="paragraph">
              <wp:posOffset>115570</wp:posOffset>
            </wp:positionV>
            <wp:extent cx="3808095" cy="4483100"/>
            <wp:effectExtent l="0" t="0" r="1905" b="1270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0"/>
                    <a:srcRect l="35798" t="40446" r="36650" b="16311"/>
                    <a:stretch>
                      <a:fillRect/>
                    </a:stretch>
                  </pic:blipFill>
                  <pic:spPr>
                    <a:xfrm>
                      <a:off x="0" y="0"/>
                      <a:ext cx="3808095" cy="4483100"/>
                    </a:xfrm>
                    <a:prstGeom prst="rect">
                      <a:avLst/>
                    </a:prstGeom>
                    <a:noFill/>
                    <a:ln>
                      <a:noFill/>
                    </a:ln>
                  </pic:spPr>
                </pic:pic>
              </a:graphicData>
            </a:graphic>
          </wp:anchor>
        </w:drawing>
      </w: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r>
        <w:rPr>
          <w:rFonts w:hint="eastAsia" w:ascii="Times New Roman" w:hAnsi="Times New Roman"/>
          <w:lang w:val="en-US" w:eastAsia="zh-CN"/>
        </w:rPr>
        <w:t>图   二</w:t>
      </w: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numPr>
          <w:ilvl w:val="0"/>
          <w:numId w:val="0"/>
        </w:numPr>
        <w:ind w:firstLine="3150" w:firstLineChars="1500"/>
        <w:rPr>
          <w:rFonts w:hint="eastAsia" w:ascii="Times New Roman" w:hAnsi="Times New Roman"/>
          <w:lang w:val="en-US" w:eastAsia="zh-CN"/>
        </w:rPr>
      </w:pPr>
    </w:p>
    <w:p>
      <w:pPr>
        <w:ind w:firstLine="3990" w:firstLineChars="1900"/>
        <w:rPr>
          <w:rFonts w:hint="default" w:ascii="Times New Roman" w:hAnsi="Times New Roman"/>
          <w:lang w:val="en-US" w:eastAsia="zh-CN"/>
        </w:rPr>
      </w:pPr>
      <w:r>
        <w:rPr>
          <w:rFonts w:hint="eastAsia" w:ascii="Times New Roman" w:hAnsi="Times New Roman"/>
          <w:lang w:val="en-US" w:eastAsia="zh-CN"/>
        </w:rPr>
        <w:t xml:space="preserve"> 附 录  C</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水平侧向静载荷实验</w:t>
      </w:r>
    </w:p>
    <w:p>
      <w:pPr>
        <w:numPr>
          <w:ilvl w:val="0"/>
          <w:numId w:val="0"/>
        </w:numPr>
        <w:rPr>
          <w:rFonts w:hint="eastAsia" w:ascii="Times New Roman" w:hAnsi="Times New Roman"/>
          <w:lang w:val="en-US" w:eastAsia="zh-CN"/>
        </w:rPr>
      </w:pPr>
      <w:r>
        <w:rPr>
          <w:rFonts w:hint="eastAsia" w:ascii="Times New Roman" w:hAnsi="Times New Roman"/>
          <w:lang w:val="en-US" w:eastAsia="zh-CN"/>
        </w:rPr>
        <w:t>实验方法：</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C.1 抽屉导轨均布加载实验负荷（实验负荷根据不同导轨负荷不一样）</w:t>
      </w:r>
    </w:p>
    <w:p>
      <w:pPr>
        <w:numPr>
          <w:ilvl w:val="0"/>
          <w:numId w:val="0"/>
        </w:numPr>
        <w:ind w:firstLine="420" w:firstLineChars="200"/>
        <w:rPr>
          <w:rFonts w:hint="eastAsia" w:ascii="Times New Roman" w:hAnsi="Times New Roman"/>
          <w:lang w:val="en-US" w:eastAsia="zh-CN"/>
        </w:rPr>
      </w:pPr>
      <w:r>
        <w:rPr>
          <w:rFonts w:hint="eastAsia" w:ascii="Times New Roman" w:hAnsi="Times New Roman"/>
          <w:lang w:val="en-US" w:eastAsia="zh-CN"/>
        </w:rPr>
        <w:t>C.2 将抽屉导轨拉出至限位状态，在抽屉面板两侧端中点位置按附录L表中规定的力水平各加载5次（见图三）。加力速度尽量缓慢，施加的每次载荷保持10-15秒。</w:t>
      </w:r>
    </w:p>
    <w:p>
      <w:pPr>
        <w:numPr>
          <w:ilvl w:val="0"/>
          <w:numId w:val="0"/>
        </w:numPr>
        <w:ind w:firstLine="420" w:firstLineChars="200"/>
        <w:rPr>
          <w:rFonts w:hint="default" w:ascii="Times New Roman" w:hAnsi="Times New Roman"/>
          <w:lang w:val="en-US" w:eastAsia="zh-CN"/>
        </w:rPr>
      </w:pPr>
      <w:r>
        <w:rPr>
          <w:rFonts w:hint="eastAsia" w:ascii="Times New Roman" w:hAnsi="Times New Roman"/>
          <w:lang w:val="en-US" w:eastAsia="zh-CN"/>
        </w:rPr>
        <w:t>C.3 过载实验按附录L表 L.1选择参数。功能实验按附录L表L.2选择参数。</w:t>
      </w: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 xml:space="preserve">  C.4 卸载后再检查导轨</w:t>
      </w:r>
    </w:p>
    <w:p>
      <w:pPr>
        <w:numPr>
          <w:ilvl w:val="0"/>
          <w:numId w:val="0"/>
        </w:numPr>
        <w:ind w:firstLine="210" w:firstLineChars="100"/>
        <w:rPr>
          <w:rFonts w:hint="default" w:ascii="Times New Roman" w:hAnsi="Times New Roman"/>
          <w:lang w:val="en-US" w:eastAsia="zh-CN"/>
        </w:rPr>
      </w:pPr>
    </w:p>
    <w:p>
      <w:pPr>
        <w:numPr>
          <w:ilvl w:val="0"/>
          <w:numId w:val="0"/>
        </w:numPr>
        <w:rPr>
          <w:rFonts w:hint="default" w:ascii="Times New Roman" w:hAnsi="Times New Roman"/>
          <w:lang w:val="en-US" w:eastAsia="zh-CN"/>
        </w:rPr>
      </w:pPr>
      <w:r>
        <w:drawing>
          <wp:anchor distT="0" distB="0" distL="114300" distR="114300" simplePos="0" relativeHeight="251667456" behindDoc="0" locked="0" layoutInCell="1" allowOverlap="1">
            <wp:simplePos x="0" y="0"/>
            <wp:positionH relativeFrom="column">
              <wp:posOffset>619125</wp:posOffset>
            </wp:positionH>
            <wp:positionV relativeFrom="paragraph">
              <wp:posOffset>51435</wp:posOffset>
            </wp:positionV>
            <wp:extent cx="4681855" cy="4351655"/>
            <wp:effectExtent l="0" t="0" r="4445" b="10795"/>
            <wp:wrapNone/>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1"/>
                    <a:srcRect l="33898" t="39352" r="33077" b="19731"/>
                    <a:stretch>
                      <a:fillRect/>
                    </a:stretch>
                  </pic:blipFill>
                  <pic:spPr>
                    <a:xfrm>
                      <a:off x="0" y="0"/>
                      <a:ext cx="4681855" cy="4351655"/>
                    </a:xfrm>
                    <a:prstGeom prst="rect">
                      <a:avLst/>
                    </a:prstGeom>
                    <a:noFill/>
                    <a:ln>
                      <a:noFill/>
                    </a:ln>
                  </pic:spPr>
                </pic:pic>
              </a:graphicData>
            </a:graphic>
          </wp:anchor>
        </w:drawing>
      </w: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图  三</w:t>
      </w: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ind w:firstLine="3990" w:firstLineChars="1900"/>
        <w:rPr>
          <w:rFonts w:hint="default" w:ascii="Times New Roman" w:hAnsi="Times New Roman"/>
          <w:lang w:val="en-US" w:eastAsia="zh-CN"/>
        </w:rPr>
      </w:pPr>
      <w:r>
        <w:rPr>
          <w:rFonts w:hint="eastAsia" w:ascii="Times New Roman" w:hAnsi="Times New Roman"/>
          <w:lang w:val="en-US" w:eastAsia="zh-CN"/>
        </w:rPr>
        <w:t xml:space="preserve"> 附 录  D</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猛关或猛开实验</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抽屉导轨猛关或猛开实验装置应由一个通过绳索连接的、质量为m的悬挂配重开或关。悬挂质量m</w:t>
      </w:r>
    </w:p>
    <w:p>
      <w:pPr>
        <w:numPr>
          <w:ilvl w:val="0"/>
          <w:numId w:val="0"/>
        </w:numPr>
        <w:rPr>
          <w:rFonts w:hint="default" w:ascii="Times New Roman" w:hAnsi="Times New Roman"/>
          <w:lang w:val="en-US" w:eastAsia="zh-CN"/>
        </w:rPr>
      </w:pPr>
      <w:r>
        <w:drawing>
          <wp:anchor distT="0" distB="0" distL="114300" distR="114300" simplePos="0" relativeHeight="251669504" behindDoc="0" locked="0" layoutInCell="1" allowOverlap="1">
            <wp:simplePos x="0" y="0"/>
            <wp:positionH relativeFrom="column">
              <wp:posOffset>1323975</wp:posOffset>
            </wp:positionH>
            <wp:positionV relativeFrom="paragraph">
              <wp:posOffset>93345</wp:posOffset>
            </wp:positionV>
            <wp:extent cx="1203325" cy="321945"/>
            <wp:effectExtent l="0" t="0" r="15875" b="1905"/>
            <wp:wrapNone/>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2"/>
                    <a:srcRect l="40015" t="34672" r="50037" b="60939"/>
                    <a:stretch>
                      <a:fillRect/>
                    </a:stretch>
                  </pic:blipFill>
                  <pic:spPr>
                    <a:xfrm>
                      <a:off x="0" y="0"/>
                      <a:ext cx="1203325" cy="321945"/>
                    </a:xfrm>
                    <a:prstGeom prst="rect">
                      <a:avLst/>
                    </a:prstGeom>
                    <a:noFill/>
                    <a:ln>
                      <a:noFill/>
                    </a:ln>
                  </pic:spPr>
                </pic:pic>
              </a:graphicData>
            </a:graphic>
          </wp:anchor>
        </w:drawing>
      </w:r>
      <w:r>
        <w:rPr>
          <w:rFonts w:hint="eastAsia" w:ascii="Times New Roman" w:hAnsi="Times New Roman"/>
          <w:lang w:val="en-US" w:eastAsia="zh-CN"/>
        </w:rPr>
        <w:t>通过以下公式计算</w:t>
      </w:r>
    </w:p>
    <w:p>
      <w:pPr>
        <w:numPr>
          <w:ilvl w:val="0"/>
          <w:numId w:val="0"/>
        </w:numPr>
        <w:rPr>
          <w:rFonts w:hint="default" w:ascii="Times New Roman" w:hAnsi="Times New Roman"/>
          <w:lang w:val="en-US" w:eastAsia="zh-CN"/>
        </w:rPr>
      </w:pPr>
    </w:p>
    <w:p>
      <w:pPr>
        <w:numPr>
          <w:ilvl w:val="0"/>
          <w:numId w:val="5"/>
        </w:numPr>
        <w:ind w:left="1890" w:leftChars="0" w:firstLine="0" w:firstLineChars="0"/>
        <w:rPr>
          <w:rFonts w:hint="eastAsia" w:ascii="Times New Roman" w:hAnsi="Times New Roman"/>
          <w:lang w:val="en-US" w:eastAsia="zh-CN"/>
        </w:rPr>
      </w:pPr>
      <w:r>
        <w:rPr>
          <w:rFonts w:hint="eastAsia" w:ascii="Times New Roman" w:hAnsi="Times New Roman"/>
          <w:lang w:val="en-US" w:eastAsia="zh-CN"/>
        </w:rPr>
        <w:t>--按附录表（L.1）和表（L.2）进行选择</w:t>
      </w:r>
    </w:p>
    <w:p>
      <w:pPr>
        <w:numPr>
          <w:ilvl w:val="0"/>
          <w:numId w:val="0"/>
        </w:numPr>
        <w:ind w:left="1890" w:leftChars="0"/>
        <w:rPr>
          <w:rFonts w:hint="default" w:ascii="Times New Roman" w:hAnsi="Times New Roman"/>
          <w:lang w:val="en-US" w:eastAsia="zh-CN"/>
        </w:rPr>
      </w:pPr>
      <w:r>
        <w:rPr>
          <w:rFonts w:hint="eastAsia" w:ascii="Times New Roman" w:hAnsi="Times New Roman"/>
          <w:lang w:val="en-US" w:eastAsia="zh-CN"/>
        </w:rPr>
        <w:t>M--承载能力</w:t>
      </w:r>
    </w:p>
    <w:p>
      <w:pPr>
        <w:numPr>
          <w:ilvl w:val="0"/>
          <w:numId w:val="0"/>
        </w:numPr>
        <w:rPr>
          <w:rFonts w:hint="eastAsia" w:ascii="Times New Roman" w:hAnsi="Times New Roman"/>
          <w:lang w:val="en-US" w:eastAsia="zh-CN"/>
        </w:rPr>
      </w:pPr>
      <w:r>
        <w:rPr>
          <w:rFonts w:hint="eastAsia" w:ascii="Times New Roman" w:hAnsi="Times New Roman"/>
          <w:lang w:val="en-US" w:eastAsia="zh-CN"/>
        </w:rPr>
        <w:t>实验方法：</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D.1 猛关实验</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D.1.1 抽屉导轨均布加载实验负荷（实验负荷根据不同导轨负荷不一样）</w:t>
      </w:r>
    </w:p>
    <w:p>
      <w:pPr>
        <w:numPr>
          <w:ilvl w:val="0"/>
          <w:numId w:val="0"/>
        </w:numPr>
        <w:ind w:firstLine="420" w:firstLineChars="200"/>
        <w:rPr>
          <w:rFonts w:hint="default" w:ascii="Times New Roman" w:hAnsi="Times New Roman"/>
          <w:lang w:val="en-US" w:eastAsia="zh-CN"/>
        </w:rPr>
      </w:pPr>
      <w:r>
        <w:rPr>
          <w:rFonts w:hint="eastAsia" w:ascii="Times New Roman" w:hAnsi="Times New Roman"/>
          <w:lang w:val="en-US" w:eastAsia="zh-CN"/>
        </w:rPr>
        <w:t>D.1.2 将抽屉导轨拉出300mm，当抽屉长度不足300mm时，则将抽屉导轨充分拉出（见图四）。</w:t>
      </w:r>
    </w:p>
    <w:p>
      <w:pPr>
        <w:numPr>
          <w:ilvl w:val="0"/>
          <w:numId w:val="0"/>
        </w:numPr>
        <w:ind w:firstLine="210" w:firstLineChars="100"/>
        <w:rPr>
          <w:rFonts w:hint="eastAsia" w:ascii="Times New Roman" w:hAnsi="Times New Roman"/>
          <w:lang w:val="en-US" w:eastAsia="zh-CN"/>
        </w:rPr>
      </w:pPr>
      <w:r>
        <w:rPr>
          <w:rFonts w:hint="eastAsia" w:ascii="Times New Roman" w:hAnsi="Times New Roman"/>
          <w:lang w:val="en-US" w:eastAsia="zh-CN"/>
        </w:rPr>
        <w:t xml:space="preserve">  D.1.3 悬挂配重量m猛关抽屉导轨，关闭力加载点见图一。配重施加的力应在导轨移动到终端位置还剩10mm时停止。</w:t>
      </w:r>
    </w:p>
    <w:p>
      <w:pPr>
        <w:numPr>
          <w:ilvl w:val="0"/>
          <w:numId w:val="0"/>
        </w:numPr>
        <w:ind w:firstLine="420" w:firstLineChars="200"/>
        <w:rPr>
          <w:rFonts w:hint="default" w:ascii="Times New Roman" w:hAnsi="Times New Roman"/>
          <w:lang w:val="en-US" w:eastAsia="zh-CN"/>
        </w:rPr>
      </w:pPr>
      <w:r>
        <w:rPr>
          <w:rFonts w:hint="eastAsia" w:ascii="Times New Roman" w:hAnsi="Times New Roman"/>
          <w:lang w:val="en-US" w:eastAsia="zh-CN"/>
        </w:rPr>
        <w:t>D.1.4  过载实验，因子K按附录L表 L.1选择参数。功能实验，因子K按附录L表L.2选择参数。</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D.1.5 卸载后再检查导轨</w:t>
      </w:r>
    </w:p>
    <w:p>
      <w:pPr>
        <w:numPr>
          <w:ilvl w:val="0"/>
          <w:numId w:val="0"/>
        </w:numPr>
        <w:rPr>
          <w:rFonts w:hint="default" w:ascii="Times New Roman" w:hAnsi="Times New Roman"/>
          <w:lang w:val="en-US" w:eastAsia="zh-CN"/>
        </w:rPr>
      </w:pPr>
      <w:r>
        <w:drawing>
          <wp:anchor distT="0" distB="0" distL="114300" distR="114300" simplePos="0" relativeHeight="251670528" behindDoc="0" locked="0" layoutInCell="1" allowOverlap="1">
            <wp:simplePos x="0" y="0"/>
            <wp:positionH relativeFrom="column">
              <wp:posOffset>3465830</wp:posOffset>
            </wp:positionH>
            <wp:positionV relativeFrom="paragraph">
              <wp:posOffset>52705</wp:posOffset>
            </wp:positionV>
            <wp:extent cx="2286635" cy="3279140"/>
            <wp:effectExtent l="0" t="0" r="18415" b="16510"/>
            <wp:wrapNone/>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3"/>
                    <a:srcRect l="37522" t="24702" r="33659" b="20202"/>
                    <a:stretch>
                      <a:fillRect/>
                    </a:stretch>
                  </pic:blipFill>
                  <pic:spPr>
                    <a:xfrm>
                      <a:off x="0" y="0"/>
                      <a:ext cx="2286635" cy="3279140"/>
                    </a:xfrm>
                    <a:prstGeom prst="rect">
                      <a:avLst/>
                    </a:prstGeom>
                    <a:noFill/>
                    <a:ln>
                      <a:noFill/>
                    </a:ln>
                  </pic:spPr>
                </pic:pic>
              </a:graphicData>
            </a:graphic>
          </wp:anchor>
        </w:drawing>
      </w:r>
      <w:r>
        <w:drawing>
          <wp:anchor distT="0" distB="0" distL="114300" distR="114300" simplePos="0" relativeHeight="251668480" behindDoc="0" locked="0" layoutInCell="1" allowOverlap="1">
            <wp:simplePos x="0" y="0"/>
            <wp:positionH relativeFrom="column">
              <wp:posOffset>-401955</wp:posOffset>
            </wp:positionH>
            <wp:positionV relativeFrom="paragraph">
              <wp:posOffset>170180</wp:posOffset>
            </wp:positionV>
            <wp:extent cx="2915285" cy="3162300"/>
            <wp:effectExtent l="0" t="0" r="18415" b="0"/>
            <wp:wrapNone/>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4"/>
                    <a:srcRect l="23180" t="40806" r="32111" b="12282"/>
                    <a:stretch>
                      <a:fillRect/>
                    </a:stretch>
                  </pic:blipFill>
                  <pic:spPr>
                    <a:xfrm>
                      <a:off x="0" y="0"/>
                      <a:ext cx="2915285" cy="3162300"/>
                    </a:xfrm>
                    <a:prstGeom prst="rect">
                      <a:avLst/>
                    </a:prstGeom>
                    <a:noFill/>
                    <a:ln>
                      <a:noFill/>
                    </a:ln>
                  </pic:spPr>
                </pic:pic>
              </a:graphicData>
            </a:graphic>
          </wp:anchor>
        </w:drawing>
      </w: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ind w:firstLine="4620" w:firstLineChars="2200"/>
        <w:rPr>
          <w:rFonts w:hint="eastAsia" w:ascii="Times New Roman" w:hAnsi="Times New Roman"/>
          <w:lang w:val="en-US" w:eastAsia="zh-CN"/>
        </w:rPr>
      </w:pPr>
    </w:p>
    <w:p>
      <w:pPr>
        <w:numPr>
          <w:ilvl w:val="0"/>
          <w:numId w:val="0"/>
        </w:numPr>
        <w:ind w:firstLine="4620" w:firstLineChars="2200"/>
        <w:rPr>
          <w:rFonts w:hint="eastAsia" w:ascii="Times New Roman" w:hAnsi="Times New Roman"/>
          <w:lang w:val="en-US" w:eastAsia="zh-CN"/>
        </w:rPr>
      </w:pPr>
    </w:p>
    <w:p>
      <w:pPr>
        <w:numPr>
          <w:ilvl w:val="0"/>
          <w:numId w:val="0"/>
        </w:numPr>
        <w:ind w:firstLine="4620" w:firstLineChars="2200"/>
        <w:rPr>
          <w:rFonts w:hint="eastAsia" w:ascii="Times New Roman" w:hAnsi="Times New Roman"/>
          <w:lang w:val="en-US" w:eastAsia="zh-CN"/>
        </w:rPr>
      </w:pPr>
    </w:p>
    <w:p>
      <w:pPr>
        <w:numPr>
          <w:ilvl w:val="0"/>
          <w:numId w:val="0"/>
        </w:numPr>
        <w:ind w:firstLine="4620" w:firstLineChars="2200"/>
        <w:rPr>
          <w:rFonts w:hint="eastAsia" w:ascii="Times New Roman" w:hAnsi="Times New Roman"/>
          <w:lang w:val="en-US" w:eastAsia="zh-CN"/>
        </w:rPr>
      </w:pPr>
    </w:p>
    <w:p>
      <w:pPr>
        <w:numPr>
          <w:ilvl w:val="0"/>
          <w:numId w:val="0"/>
        </w:numPr>
        <w:ind w:firstLine="4620" w:firstLineChars="2200"/>
        <w:rPr>
          <w:rFonts w:hint="eastAsia" w:ascii="Times New Roman" w:hAnsi="Times New Roman"/>
          <w:lang w:val="en-US" w:eastAsia="zh-CN"/>
        </w:rPr>
      </w:pPr>
    </w:p>
    <w:p>
      <w:pPr>
        <w:numPr>
          <w:ilvl w:val="0"/>
          <w:numId w:val="0"/>
        </w:numPr>
        <w:ind w:firstLine="1260" w:firstLineChars="600"/>
        <w:rPr>
          <w:rFonts w:hint="default" w:ascii="Times New Roman" w:hAnsi="Times New Roman"/>
          <w:lang w:val="en-US" w:eastAsia="zh-CN"/>
        </w:rPr>
      </w:pPr>
      <w:r>
        <w:rPr>
          <w:rFonts w:hint="eastAsia" w:ascii="Times New Roman" w:hAnsi="Times New Roman"/>
          <w:lang w:val="en-US" w:eastAsia="zh-CN"/>
        </w:rPr>
        <w:t>图   四                                         图   五</w:t>
      </w: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default" w:ascii="Times New Roman" w:hAnsi="Times New Roman"/>
          <w:lang w:val="en-US" w:eastAsia="zh-CN"/>
        </w:rPr>
      </w:pPr>
      <w:r>
        <w:rPr>
          <w:rFonts w:hint="eastAsia" w:ascii="Times New Roman" w:hAnsi="Times New Roman"/>
          <w:lang w:val="en-US" w:eastAsia="zh-CN"/>
        </w:rPr>
        <w:t>D.2 猛开实验</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D.2.1 抽屉导轨均布加载实验负荷（实验负荷根据不同导轨负荷不一样）</w:t>
      </w:r>
    </w:p>
    <w:p>
      <w:pPr>
        <w:numPr>
          <w:ilvl w:val="0"/>
          <w:numId w:val="0"/>
        </w:numPr>
        <w:ind w:firstLine="420" w:firstLineChars="200"/>
        <w:rPr>
          <w:rFonts w:hint="default" w:ascii="Times New Roman" w:hAnsi="Times New Roman"/>
          <w:lang w:val="en-US" w:eastAsia="zh-CN"/>
        </w:rPr>
      </w:pPr>
      <w:r>
        <w:rPr>
          <w:rFonts w:hint="eastAsia" w:ascii="Times New Roman" w:hAnsi="Times New Roman"/>
          <w:lang w:val="en-US" w:eastAsia="zh-CN"/>
        </w:rPr>
        <w:t>D.2.2 将抽屉导轨从满开位置推进300mm，当抽屉长度不足300mm时，就推到满关位置。见图五</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D.2.3 悬挂配重量m猛开抽屉导轨，开启力加载点见图一。配重施加的力应在导轨移动到终端位置还剩10mm时停止。 </w:t>
      </w:r>
    </w:p>
    <w:p>
      <w:pPr>
        <w:numPr>
          <w:ilvl w:val="0"/>
          <w:numId w:val="0"/>
        </w:numPr>
        <w:ind w:firstLine="420" w:firstLineChars="200"/>
        <w:rPr>
          <w:rFonts w:hint="eastAsia" w:ascii="Times New Roman" w:hAnsi="Times New Roman"/>
          <w:lang w:val="en-US" w:eastAsia="zh-CN"/>
        </w:rPr>
      </w:pPr>
      <w:r>
        <w:rPr>
          <w:rFonts w:hint="eastAsia" w:ascii="Times New Roman" w:hAnsi="Times New Roman"/>
          <w:lang w:val="en-US" w:eastAsia="zh-CN"/>
        </w:rPr>
        <w:t>D.2.4 过载实验，因子K按附录L表 L.1选择参数。功能实验，因子K按附录L表L.2选择参数。</w:t>
      </w:r>
    </w:p>
    <w:p>
      <w:pPr>
        <w:numPr>
          <w:ilvl w:val="0"/>
          <w:numId w:val="0"/>
        </w:numPr>
        <w:ind w:firstLine="210" w:firstLineChars="100"/>
        <w:rPr>
          <w:rFonts w:hint="default" w:ascii="Times New Roman" w:hAnsi="Times New Roman"/>
          <w:lang w:val="en-US" w:eastAsia="zh-CN"/>
        </w:rPr>
      </w:pPr>
      <w:r>
        <w:rPr>
          <w:rFonts w:hint="eastAsia" w:ascii="Times New Roman" w:hAnsi="Times New Roman"/>
          <w:lang w:val="en-US" w:eastAsia="zh-CN"/>
        </w:rPr>
        <w:t xml:space="preserve">  D.2.5 卸载后再检查导轨</w:t>
      </w:r>
    </w:p>
    <w:p>
      <w:pPr>
        <w:numPr>
          <w:ilvl w:val="0"/>
          <w:numId w:val="0"/>
        </w:numPr>
        <w:rPr>
          <w:rFonts w:hint="eastAsia" w:ascii="Times New Roman" w:hAnsi="Times New Roman"/>
          <w:lang w:val="en-US" w:eastAsia="zh-CN"/>
        </w:rPr>
      </w:pPr>
    </w:p>
    <w:p>
      <w:pPr>
        <w:numPr>
          <w:ilvl w:val="0"/>
          <w:numId w:val="0"/>
        </w:numPr>
        <w:ind w:firstLine="3990" w:firstLineChars="1900"/>
        <w:rPr>
          <w:rFonts w:hint="eastAsia" w:ascii="Times New Roman" w:hAnsi="Times New Roman"/>
          <w:lang w:val="en-US" w:eastAsia="zh-CN"/>
        </w:rPr>
      </w:pPr>
    </w:p>
    <w:p>
      <w:pPr>
        <w:numPr>
          <w:ilvl w:val="0"/>
          <w:numId w:val="0"/>
        </w:numPr>
        <w:ind w:firstLine="3990" w:firstLineChars="1900"/>
        <w:rPr>
          <w:rFonts w:hint="eastAsia" w:ascii="Times New Roman" w:hAnsi="Times New Roman"/>
          <w:lang w:val="en-US" w:eastAsia="zh-CN"/>
        </w:rPr>
      </w:pPr>
    </w:p>
    <w:p>
      <w:pPr>
        <w:numPr>
          <w:ilvl w:val="0"/>
          <w:numId w:val="0"/>
        </w:numPr>
        <w:ind w:firstLine="3990" w:firstLineChars="1900"/>
        <w:rPr>
          <w:rFonts w:hint="eastAsia" w:ascii="Times New Roman" w:hAnsi="Times New Roman"/>
          <w:lang w:val="en-US" w:eastAsia="zh-CN"/>
        </w:rPr>
      </w:pP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E</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抽屉导轨组件结构强度实验</w:t>
      </w:r>
    </w:p>
    <w:p>
      <w:pPr>
        <w:rPr>
          <w:rFonts w:hint="eastAsia"/>
          <w:lang w:val="en-US" w:eastAsia="zh-CN"/>
        </w:rPr>
      </w:pPr>
      <w:r>
        <w:rPr>
          <w:rFonts w:hint="eastAsia"/>
          <w:lang w:val="en-US" w:eastAsia="zh-CN"/>
        </w:rPr>
        <w:t>实验方法</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E.1 抽屉导轨均布加载实验负荷（实验负荷根据不同导轨负荷不一样）</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E.2 在抽屉面板和后板的内侧面垂直中心线顶端以下2/3处，分别加载附录L（L.2表）中的力</w:t>
      </w:r>
    </w:p>
    <w:p>
      <w:pPr>
        <w:numPr>
          <w:ilvl w:val="0"/>
          <w:numId w:val="0"/>
        </w:numPr>
        <w:rPr>
          <w:rFonts w:hint="default" w:ascii="Times New Roman" w:hAnsi="Times New Roman"/>
          <w:lang w:val="en-US" w:eastAsia="zh-CN"/>
        </w:rPr>
      </w:pPr>
      <w:r>
        <w:rPr>
          <w:rFonts w:hint="eastAsia" w:ascii="Times New Roman" w:hAnsi="Times New Roman"/>
          <w:lang w:val="en-US" w:eastAsia="zh-CN"/>
        </w:rPr>
        <w:t>（见图六）</w:t>
      </w:r>
    </w:p>
    <w:p>
      <w:pPr>
        <w:numPr>
          <w:ilvl w:val="0"/>
          <w:numId w:val="0"/>
        </w:numPr>
        <w:rPr>
          <w:rFonts w:hint="eastAsia" w:ascii="Times New Roman" w:hAnsi="Times New Roman"/>
          <w:lang w:val="en-US" w:eastAsia="zh-CN"/>
        </w:rPr>
      </w:pPr>
      <w:r>
        <w:drawing>
          <wp:anchor distT="0" distB="0" distL="114300" distR="114300" simplePos="0" relativeHeight="251671552" behindDoc="0" locked="0" layoutInCell="1" allowOverlap="1">
            <wp:simplePos x="0" y="0"/>
            <wp:positionH relativeFrom="column">
              <wp:posOffset>1152525</wp:posOffset>
            </wp:positionH>
            <wp:positionV relativeFrom="paragraph">
              <wp:posOffset>13335</wp:posOffset>
            </wp:positionV>
            <wp:extent cx="3761740" cy="4340225"/>
            <wp:effectExtent l="0" t="0" r="10160" b="3175"/>
            <wp:wrapNone/>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pic:cNvPicPr>
                      <a:picLocks noChangeAspect="1"/>
                    </pic:cNvPicPr>
                  </pic:nvPicPr>
                  <pic:blipFill>
                    <a:blip r:embed="rId15"/>
                    <a:srcRect l="32693" t="38203" r="37262" b="15577"/>
                    <a:stretch>
                      <a:fillRect/>
                    </a:stretch>
                  </pic:blipFill>
                  <pic:spPr>
                    <a:xfrm>
                      <a:off x="0" y="0"/>
                      <a:ext cx="3761740" cy="4340225"/>
                    </a:xfrm>
                    <a:prstGeom prst="rect">
                      <a:avLst/>
                    </a:prstGeom>
                    <a:noFill/>
                    <a:ln>
                      <a:noFill/>
                    </a:ln>
                  </pic:spPr>
                </pic:pic>
              </a:graphicData>
            </a:graphic>
          </wp:anchor>
        </w:drawing>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r>
        <w:rPr>
          <w:rFonts w:hint="eastAsia" w:ascii="Times New Roman" w:hAnsi="Times New Roman"/>
          <w:lang w:val="en-US" w:eastAsia="zh-CN"/>
        </w:rPr>
        <w:t xml:space="preserve"> 图  六  </w:t>
      </w: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F</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操作力实验</w:t>
      </w:r>
    </w:p>
    <w:p>
      <w:pPr>
        <w:rPr>
          <w:rFonts w:hint="eastAsia"/>
          <w:lang w:val="en-US" w:eastAsia="zh-CN"/>
        </w:rPr>
      </w:pPr>
      <w:r>
        <w:rPr>
          <w:rFonts w:hint="eastAsia"/>
          <w:lang w:val="en-US" w:eastAsia="zh-CN"/>
        </w:rPr>
        <w:t>实验方法</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F.1 抽屉导轨均布加载实验负荷（实验负荷根据不同导轨负荷不一样）</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F.2 在耐久实验前后，测定推力和拉力的最大值，力加载点如图一位置，测量方向与面板垂直或与导轨平行，测量应缓慢进行。</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F.3 推力和拉力测量方法：从满关位置之前的10mm位置开始施加拉力，一直到满开位置（或限位位置）。</w:t>
      </w:r>
    </w:p>
    <w:p>
      <w:pPr>
        <w:numPr>
          <w:ilvl w:val="0"/>
          <w:numId w:val="0"/>
        </w:numPr>
        <w:rPr>
          <w:rFonts w:hint="eastAsia" w:ascii="Times New Roman" w:hAnsi="Times New Roman"/>
          <w:lang w:val="en-US" w:eastAsia="zh-CN"/>
        </w:rPr>
      </w:pPr>
      <w:r>
        <w:rPr>
          <w:rFonts w:hint="eastAsia" w:ascii="Times New Roman" w:hAnsi="Times New Roman"/>
          <w:lang w:val="en-US" w:eastAsia="zh-CN"/>
        </w:rPr>
        <w:t>从满开位置（或限位位置）之前的50mm开始施加推力，一直到满关位置（见图七）</w:t>
      </w:r>
    </w:p>
    <w:p>
      <w:pPr>
        <w:numPr>
          <w:ilvl w:val="0"/>
          <w:numId w:val="0"/>
        </w:numPr>
        <w:rPr>
          <w:rFonts w:hint="default" w:ascii="Times New Roman" w:hAnsi="Times New Roman"/>
          <w:lang w:val="en-US" w:eastAsia="zh-CN"/>
        </w:rPr>
      </w:pPr>
      <w:r>
        <w:drawing>
          <wp:anchor distT="0" distB="0" distL="114300" distR="114300" simplePos="0" relativeHeight="251672576" behindDoc="0" locked="0" layoutInCell="1" allowOverlap="1">
            <wp:simplePos x="0" y="0"/>
            <wp:positionH relativeFrom="column">
              <wp:posOffset>1208405</wp:posOffset>
            </wp:positionH>
            <wp:positionV relativeFrom="paragraph">
              <wp:posOffset>193675</wp:posOffset>
            </wp:positionV>
            <wp:extent cx="3342640" cy="3901440"/>
            <wp:effectExtent l="0" t="0" r="10160" b="3810"/>
            <wp:wrapNone/>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6"/>
                    <a:srcRect l="35964" t="26779" r="35528" b="28856"/>
                    <a:stretch>
                      <a:fillRect/>
                    </a:stretch>
                  </pic:blipFill>
                  <pic:spPr>
                    <a:xfrm>
                      <a:off x="0" y="0"/>
                      <a:ext cx="3342640" cy="3901440"/>
                    </a:xfrm>
                    <a:prstGeom prst="rect">
                      <a:avLst/>
                    </a:prstGeom>
                    <a:noFill/>
                    <a:ln>
                      <a:noFill/>
                    </a:ln>
                  </pic:spPr>
                </pic:pic>
              </a:graphicData>
            </a:graphic>
          </wp:anchor>
        </w:drawing>
      </w: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r>
        <w:rPr>
          <w:rFonts w:hint="eastAsia" w:ascii="Times New Roman" w:hAnsi="Times New Roman"/>
          <w:lang w:val="en-US" w:eastAsia="zh-CN"/>
        </w:rPr>
        <w:t xml:space="preserve">图   七 </w:t>
      </w: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numPr>
          <w:ilvl w:val="0"/>
          <w:numId w:val="0"/>
        </w:numPr>
        <w:ind w:firstLine="4200" w:firstLineChars="2000"/>
        <w:rPr>
          <w:rFonts w:hint="eastAsia" w:ascii="Times New Roman" w:hAnsi="Times New Roman"/>
          <w:lang w:val="en-US" w:eastAsia="zh-CN"/>
        </w:rPr>
      </w:pP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G</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下沉量实验</w:t>
      </w:r>
    </w:p>
    <w:p>
      <w:pPr>
        <w:numPr>
          <w:ilvl w:val="0"/>
          <w:numId w:val="0"/>
        </w:numPr>
        <w:rPr>
          <w:rFonts w:hint="eastAsia" w:ascii="Times New Roman" w:hAnsi="Times New Roman"/>
          <w:lang w:val="en-US" w:eastAsia="zh-CN"/>
        </w:rPr>
      </w:pPr>
      <w:r>
        <w:rPr>
          <w:rFonts w:hint="eastAsia" w:ascii="Times New Roman" w:hAnsi="Times New Roman"/>
          <w:lang w:val="en-US" w:eastAsia="zh-CN"/>
        </w:rPr>
        <w:t>实验方法</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G.1 抽屉导轨均布加载实验负荷（实验负荷根据不同导轨负荷不一样）</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G.2 在耐久实验前后，分别将抽屉导轨拉出到满开位置（限位位置）将面板中点作为下沉量参考点，记录离地高度，精度为0.5mm。（见图八）</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G.3耐久测试前和耐久测试后分别记录的差值，为下沉量。</w:t>
      </w:r>
    </w:p>
    <w:p>
      <w:pPr>
        <w:numPr>
          <w:ilvl w:val="0"/>
          <w:numId w:val="0"/>
        </w:numPr>
        <w:rPr>
          <w:rFonts w:hint="eastAsia" w:ascii="Times New Roman" w:hAnsi="Times New Roman"/>
          <w:lang w:val="en-US" w:eastAsia="zh-CN"/>
        </w:rPr>
      </w:pPr>
      <w:r>
        <w:drawing>
          <wp:anchor distT="0" distB="0" distL="114300" distR="114300" simplePos="0" relativeHeight="251673600" behindDoc="0" locked="0" layoutInCell="1" allowOverlap="1">
            <wp:simplePos x="0" y="0"/>
            <wp:positionH relativeFrom="column">
              <wp:posOffset>809625</wp:posOffset>
            </wp:positionH>
            <wp:positionV relativeFrom="paragraph">
              <wp:posOffset>182880</wp:posOffset>
            </wp:positionV>
            <wp:extent cx="3923665" cy="2643505"/>
            <wp:effectExtent l="0" t="0" r="635" b="4445"/>
            <wp:wrapNone/>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pic:cNvPicPr>
                      <a:picLocks noChangeAspect="1"/>
                    </pic:cNvPicPr>
                  </pic:nvPicPr>
                  <pic:blipFill>
                    <a:blip r:embed="rId17"/>
                    <a:srcRect l="32537" t="27818" r="31031" b="39463"/>
                    <a:stretch>
                      <a:fillRect/>
                    </a:stretch>
                  </pic:blipFill>
                  <pic:spPr>
                    <a:xfrm>
                      <a:off x="0" y="0"/>
                      <a:ext cx="3923665" cy="2643505"/>
                    </a:xfrm>
                    <a:prstGeom prst="rect">
                      <a:avLst/>
                    </a:prstGeom>
                    <a:noFill/>
                    <a:ln>
                      <a:noFill/>
                    </a:ln>
                  </pic:spPr>
                </pic:pic>
              </a:graphicData>
            </a:graphic>
          </wp:anchor>
        </w:drawing>
      </w:r>
      <w:r>
        <w:rPr>
          <w:rFonts w:hint="eastAsia" w:ascii="Times New Roman" w:hAnsi="Times New Roman"/>
          <w:lang w:val="en-US" w:eastAsia="zh-CN"/>
        </w:rPr>
        <w:t xml:space="preserve">       </w:t>
      </w: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w:t>
      </w:r>
    </w:p>
    <w:p>
      <w:pPr>
        <w:numPr>
          <w:ilvl w:val="0"/>
          <w:numId w:val="0"/>
        </w:numPr>
        <w:ind w:firstLine="3780" w:firstLineChars="1800"/>
        <w:rPr>
          <w:rFonts w:hint="eastAsia" w:ascii="Times New Roman" w:hAnsi="Times New Roman"/>
          <w:lang w:val="en-US" w:eastAsia="zh-CN"/>
        </w:rPr>
      </w:pPr>
      <w:r>
        <w:rPr>
          <w:rFonts w:hint="eastAsia" w:ascii="Times New Roman" w:hAnsi="Times New Roman"/>
          <w:lang w:val="en-US" w:eastAsia="zh-CN"/>
        </w:rPr>
        <w:t xml:space="preserve">图    八  </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说明：</w:t>
      </w:r>
    </w:p>
    <w:p>
      <w:pPr>
        <w:numPr>
          <w:ilvl w:val="0"/>
          <w:numId w:val="6"/>
        </w:numPr>
        <w:ind w:left="315" w:leftChars="0" w:firstLine="0" w:firstLineChars="0"/>
        <w:rPr>
          <w:rFonts w:hint="eastAsia" w:ascii="Times New Roman" w:hAnsi="Times New Roman"/>
          <w:lang w:val="en-US" w:eastAsia="zh-CN"/>
        </w:rPr>
      </w:pPr>
      <w:r>
        <w:rPr>
          <w:rFonts w:hint="eastAsia" w:ascii="Times New Roman" w:hAnsi="Times New Roman"/>
          <w:lang w:val="en-US" w:eastAsia="zh-CN"/>
        </w:rPr>
        <w:t>---下沉量测量点</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L---抽屉导轨拉出长度</w:t>
      </w: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w:t>
      </w: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H</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耐久性实验</w:t>
      </w:r>
    </w:p>
    <w:p>
      <w:pPr>
        <w:numPr>
          <w:ilvl w:val="0"/>
          <w:numId w:val="0"/>
        </w:numPr>
        <w:ind w:left="315" w:leftChars="0"/>
        <w:rPr>
          <w:rFonts w:hint="default" w:ascii="Times New Roman" w:hAnsi="Times New Roman"/>
          <w:lang w:val="en-US" w:eastAsia="zh-CN"/>
        </w:rPr>
      </w:pPr>
      <w:r>
        <w:rPr>
          <w:rFonts w:hint="eastAsia" w:ascii="Times New Roman" w:hAnsi="Times New Roman"/>
          <w:lang w:val="en-US" w:eastAsia="zh-CN"/>
        </w:rPr>
        <w:t>实验方法</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H.1 抽屉导轨均布加载实验负荷（实验负荷根据不同导轨负荷不一样）</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H.2 缓慢地启闭抽屉导轨，对没有开启限位块的推拉构件，抽出位置是将推拉构件抽出滑到内长（深度）的2/3，内留1/3，但内留不少于100mm，对开启限位块的推拉构件，抽出位置是限位块处。</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H.3 抽屉导轨应以6次/min～15次/min的频率缓慢启闭。（见图九）</w:t>
      </w:r>
    </w:p>
    <w:p>
      <w:pPr>
        <w:numPr>
          <w:ilvl w:val="0"/>
          <w:numId w:val="0"/>
        </w:numPr>
        <w:ind w:left="315" w:leftChars="0"/>
        <w:rPr>
          <w:rFonts w:hint="eastAsia" w:ascii="Times New Roman" w:hAnsi="Times New Roman"/>
          <w:lang w:val="en-US" w:eastAsia="zh-CN"/>
        </w:rPr>
      </w:pPr>
      <w:r>
        <w:drawing>
          <wp:anchor distT="0" distB="0" distL="114300" distR="114300" simplePos="0" relativeHeight="251688960" behindDoc="0" locked="0" layoutInCell="1" allowOverlap="1">
            <wp:simplePos x="0" y="0"/>
            <wp:positionH relativeFrom="column">
              <wp:posOffset>1179830</wp:posOffset>
            </wp:positionH>
            <wp:positionV relativeFrom="paragraph">
              <wp:posOffset>155575</wp:posOffset>
            </wp:positionV>
            <wp:extent cx="3342640" cy="3901440"/>
            <wp:effectExtent l="0" t="0" r="10160" b="3810"/>
            <wp:wrapNone/>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16"/>
                    <a:srcRect l="35964" t="26779" r="35528" b="28856"/>
                    <a:stretch>
                      <a:fillRect/>
                    </a:stretch>
                  </pic:blipFill>
                  <pic:spPr>
                    <a:xfrm>
                      <a:off x="0" y="0"/>
                      <a:ext cx="3342640" cy="3901440"/>
                    </a:xfrm>
                    <a:prstGeom prst="rect">
                      <a:avLst/>
                    </a:prstGeom>
                    <a:noFill/>
                    <a:ln>
                      <a:noFill/>
                    </a:ln>
                  </pic:spPr>
                </pic:pic>
              </a:graphicData>
            </a:graphic>
          </wp:anchor>
        </w:drawing>
      </w:r>
      <w:r>
        <w:rPr>
          <w:rFonts w:hint="eastAsia" w:ascii="Times New Roman" w:hAnsi="Times New Roman"/>
          <w:lang w:val="en-US" w:eastAsia="zh-CN"/>
        </w:rPr>
        <w:t xml:space="preserve">  </w:t>
      </w: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图  九</w:t>
      </w: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numPr>
          <w:ilvl w:val="0"/>
          <w:numId w:val="0"/>
        </w:numPr>
        <w:ind w:left="315" w:leftChars="0"/>
        <w:rPr>
          <w:rFonts w:hint="eastAsia" w:ascii="Times New Roman" w:hAnsi="Times New Roman"/>
          <w:lang w:val="en-US" w:eastAsia="zh-CN"/>
        </w:rPr>
      </w:pP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I</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抽屉导轨组件底部变形实验</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实验方法</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I.1 没加载实验载荷前，测定抽屉导轨组件底板最低点离地高度。见图十</w:t>
      </w:r>
    </w:p>
    <w:p>
      <w:pPr>
        <w:numPr>
          <w:ilvl w:val="0"/>
          <w:numId w:val="0"/>
        </w:numPr>
        <w:ind w:left="315" w:leftChars="0"/>
        <w:rPr>
          <w:rFonts w:hint="eastAsia" w:ascii="Times New Roman" w:hAnsi="Times New Roman"/>
          <w:lang w:val="en-US" w:eastAsia="zh-CN"/>
        </w:rPr>
      </w:pPr>
      <w:r>
        <w:rPr>
          <w:rFonts w:hint="eastAsia" w:ascii="Times New Roman" w:hAnsi="Times New Roman"/>
          <w:lang w:val="en-US" w:eastAsia="zh-CN"/>
        </w:rPr>
        <w:t xml:space="preserve">  I.2 加载导轨规定的实验载荷15min后，测定该点离地高度，并记录变形量（变形量为该测量点加载实验载荷前后的高度差）</w:t>
      </w:r>
    </w:p>
    <w:p>
      <w:pPr>
        <w:numPr>
          <w:ilvl w:val="0"/>
          <w:numId w:val="0"/>
        </w:numPr>
        <w:rPr>
          <w:rFonts w:hint="eastAsia" w:ascii="Times New Roman" w:hAnsi="Times New Roman"/>
          <w:lang w:val="en-US" w:eastAsia="zh-CN"/>
        </w:rPr>
      </w:pPr>
      <w:r>
        <w:drawing>
          <wp:anchor distT="0" distB="0" distL="114300" distR="114300" simplePos="0" relativeHeight="251689984" behindDoc="0" locked="0" layoutInCell="1" allowOverlap="1">
            <wp:simplePos x="0" y="0"/>
            <wp:positionH relativeFrom="column">
              <wp:posOffset>923925</wp:posOffset>
            </wp:positionH>
            <wp:positionV relativeFrom="paragraph">
              <wp:posOffset>179070</wp:posOffset>
            </wp:positionV>
            <wp:extent cx="3865245" cy="3634105"/>
            <wp:effectExtent l="0" t="0" r="1905" b="4445"/>
            <wp:wrapNone/>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9"/>
                    <pic:cNvPicPr>
                      <a:picLocks noChangeAspect="1"/>
                    </pic:cNvPicPr>
                  </pic:nvPicPr>
                  <pic:blipFill>
                    <a:blip r:embed="rId18"/>
                    <a:srcRect l="34095" t="21587" r="29629" b="32941"/>
                    <a:stretch>
                      <a:fillRect/>
                    </a:stretch>
                  </pic:blipFill>
                  <pic:spPr>
                    <a:xfrm>
                      <a:off x="0" y="0"/>
                      <a:ext cx="3865245" cy="3634105"/>
                    </a:xfrm>
                    <a:prstGeom prst="rect">
                      <a:avLst/>
                    </a:prstGeom>
                    <a:noFill/>
                    <a:ln>
                      <a:noFill/>
                    </a:ln>
                  </pic:spPr>
                </pic:pic>
              </a:graphicData>
            </a:graphic>
          </wp:anchor>
        </w:drawing>
      </w:r>
      <w:r>
        <w:rPr>
          <w:rFonts w:hint="eastAsia" w:ascii="Times New Roman" w:hAnsi="Times New Roman"/>
          <w:lang w:val="en-US" w:eastAsia="zh-CN"/>
        </w:rPr>
        <w:t xml:space="preserve">                    </w:t>
      </w:r>
    </w:p>
    <w:p>
      <w:pPr>
        <w:numPr>
          <w:ilvl w:val="0"/>
          <w:numId w:val="0"/>
        </w:numPr>
        <w:rPr>
          <w:rFonts w:hint="eastAsia"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图  十</w:t>
      </w: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ind w:firstLine="4200" w:firstLineChars="2000"/>
        <w:rPr>
          <w:rFonts w:hint="eastAsia" w:ascii="Times New Roman" w:hAnsi="Times New Roman"/>
          <w:lang w:val="en-US" w:eastAsia="zh-CN"/>
        </w:rPr>
      </w:pPr>
    </w:p>
    <w:p>
      <w:pPr>
        <w:ind w:firstLine="4200" w:firstLineChars="2000"/>
        <w:rPr>
          <w:rFonts w:hint="eastAsia" w:ascii="Times New Roman" w:hAnsi="Times New Roman"/>
          <w:lang w:val="en-US" w:eastAsia="zh-CN"/>
        </w:rPr>
      </w:pP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K</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拉出安全性实验</w:t>
      </w:r>
    </w:p>
    <w:p>
      <w:pPr>
        <w:tabs>
          <w:tab w:val="left" w:pos="3628"/>
        </w:tabs>
        <w:ind w:firstLine="210" w:firstLineChars="100"/>
        <w:rPr>
          <w:rFonts w:hint="default" w:ascii="Times New Roman" w:hAnsi="Times New Roman"/>
          <w:lang w:val="en-US" w:eastAsia="zh-CN"/>
        </w:rPr>
      </w:pPr>
      <w:r>
        <w:rPr>
          <w:rFonts w:hint="eastAsia" w:ascii="Times New Roman" w:hAnsi="Times New Roman"/>
          <w:lang w:val="en-US" w:eastAsia="zh-CN"/>
        </w:rPr>
        <w:t xml:space="preserve"> 实验方法</w:t>
      </w:r>
    </w:p>
    <w:p>
      <w:pPr>
        <w:numPr>
          <w:ilvl w:val="0"/>
          <w:numId w:val="0"/>
        </w:numPr>
        <w:rPr>
          <w:rFonts w:hint="eastAsia" w:ascii="Times New Roman" w:hAnsi="Times New Roman"/>
          <w:lang w:val="en-US" w:eastAsia="zh-CN"/>
        </w:rPr>
      </w:pPr>
      <w:r>
        <w:rPr>
          <w:rFonts w:hint="eastAsia" w:ascii="Times New Roman" w:hAnsi="Times New Roman"/>
          <w:lang w:val="en-US" w:eastAsia="zh-CN"/>
        </w:rPr>
        <w:t xml:space="preserve">    K.1  抽屉导轨均布加载实验负荷（实验负荷根据不同导轨负荷不一样）</w:t>
      </w:r>
    </w:p>
    <w:p>
      <w:pPr>
        <w:rPr>
          <w:rFonts w:hint="default" w:ascii="Times New Roman" w:hAnsi="Times New Roman"/>
          <w:lang w:val="en-US" w:eastAsia="zh-CN"/>
        </w:rPr>
      </w:pPr>
      <w:r>
        <w:rPr>
          <w:rFonts w:hint="eastAsia" w:ascii="Times New Roman" w:hAnsi="Times New Roman"/>
          <w:lang w:val="en-US" w:eastAsia="zh-CN"/>
        </w:rPr>
        <w:t xml:space="preserve">    K.2  按附录表L.2中规定的速度将抽屉朝拉出终点挡板拖拉10次，拉力应在抽屉导轨移动到终端位置还剩10mm时停止。</w:t>
      </w: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rPr>
          <w:rFonts w:hint="eastAsia" w:ascii="Times New Roman" w:hAnsi="Times New Roman"/>
          <w:lang w:val="en-US" w:eastAsia="zh-CN"/>
        </w:rPr>
      </w:pPr>
      <w:r>
        <w:rPr>
          <w:rFonts w:hint="eastAsia" w:ascii="Times New Roman" w:hAnsi="Times New Roman"/>
          <w:lang w:val="en-US" w:eastAsia="zh-CN"/>
        </w:rPr>
        <w:t xml:space="preserve">                                   </w:t>
      </w:r>
    </w:p>
    <w:p>
      <w:pPr>
        <w:rPr>
          <w:rFonts w:hint="eastAsia" w:ascii="Times New Roman" w:hAnsi="Times New Roman"/>
          <w:lang w:val="en-US" w:eastAsia="zh-CN"/>
        </w:rPr>
      </w:pPr>
    </w:p>
    <w:p>
      <w:pPr>
        <w:rPr>
          <w:rFonts w:hint="eastAsia" w:ascii="Times New Roman" w:hAnsi="Times New Roman"/>
          <w:lang w:val="en-US" w:eastAsia="zh-CN"/>
        </w:rPr>
      </w:pPr>
    </w:p>
    <w:p>
      <w:pPr>
        <w:rPr>
          <w:rFonts w:hint="eastAsia" w:ascii="Times New Roman" w:hAnsi="Times New Roman"/>
          <w:lang w:val="en-US" w:eastAsia="zh-CN"/>
        </w:rPr>
      </w:pPr>
      <w:r>
        <w:rPr>
          <w:rFonts w:hint="eastAsia" w:ascii="Times New Roman" w:hAnsi="Times New Roman"/>
          <w:lang w:val="en-US" w:eastAsia="zh-CN"/>
        </w:rPr>
        <w:t xml:space="preserve">   </w:t>
      </w:r>
    </w:p>
    <w:p>
      <w:pPr>
        <w:ind w:firstLine="630" w:firstLineChars="300"/>
        <w:rPr>
          <w:rFonts w:hint="default" w:ascii="Times New Roman" w:hAnsi="Times New Roman"/>
          <w:lang w:val="en-US" w:eastAsia="zh-CN"/>
        </w:rPr>
      </w:pPr>
      <w:r>
        <w:rPr>
          <w:rFonts w:hint="eastAsia" w:ascii="Times New Roman" w:hAnsi="Times New Roman"/>
          <w:lang w:val="en-US" w:eastAsia="zh-CN"/>
        </w:rPr>
        <w:t xml:space="preserve">                                 附 录 M</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耐腐蚀</w:t>
      </w:r>
      <w:r>
        <w:rPr>
          <w:rFonts w:hint="eastAsia" w:ascii="Times New Roman" w:hAnsi="Times New Roman"/>
          <w:lang w:val="en-US" w:eastAsia="zh-CN"/>
        </w:rPr>
        <w:t>实验测试</w:t>
      </w:r>
    </w:p>
    <w:p>
      <w:pPr>
        <w:rPr>
          <w:rFonts w:hint="default" w:ascii="Times New Roman" w:hAnsi="Times New Roman"/>
          <w:lang w:val="en-US" w:eastAsia="zh-CN"/>
        </w:rPr>
      </w:pPr>
    </w:p>
    <w:p>
      <w:pPr>
        <w:rPr>
          <w:rFonts w:hint="eastAsia" w:ascii="Times New Roman" w:hAnsi="Times New Roman"/>
          <w:lang w:val="en-US" w:eastAsia="zh-CN"/>
        </w:rPr>
      </w:pPr>
    </w:p>
    <w:p>
      <w:pPr>
        <w:numPr>
          <w:ilvl w:val="0"/>
          <w:numId w:val="0"/>
        </w:numPr>
        <w:rPr>
          <w:rFonts w:hint="default" w:ascii="Times New Roman" w:hAnsi="Times New Roman"/>
          <w:lang w:val="en-US" w:eastAsia="zh-CN"/>
        </w:rPr>
      </w:pPr>
      <w:r>
        <w:rPr>
          <w:rFonts w:hint="eastAsia" w:ascii="Times New Roman" w:hAnsi="Times New Roman"/>
          <w:lang w:val="en-US" w:eastAsia="zh-CN"/>
        </w:rPr>
        <w:t>M、耐腐蚀性能测试方法</w:t>
      </w:r>
    </w:p>
    <w:p>
      <w:pPr>
        <w:rPr>
          <w:rFonts w:hint="eastAsia" w:ascii="Times New Roman" w:hAnsi="Times New Roman"/>
          <w:lang w:val="en-US" w:eastAsia="zh-CN"/>
        </w:rPr>
      </w:pPr>
      <w:r>
        <w:rPr>
          <w:rFonts w:hint="eastAsia" w:ascii="Times New Roman" w:hAnsi="Times New Roman"/>
          <w:lang w:val="en-US" w:eastAsia="zh-CN"/>
        </w:rPr>
        <w:t xml:space="preserve">     耐腐蚀性能按照QB/T 2454-2013 里 5.6规定进行。</w:t>
      </w:r>
    </w:p>
    <w:p>
      <w:pPr>
        <w:rPr>
          <w:rFonts w:hint="eastAsia"/>
          <w:lang w:val="en-US" w:eastAsia="zh-CN"/>
        </w:rPr>
      </w:pPr>
    </w:p>
    <w:p>
      <w:pPr>
        <w:ind w:firstLine="3990" w:firstLineChars="1900"/>
        <w:rPr>
          <w:rFonts w:hint="eastAsia" w:ascii="Times New Roman" w:hAnsi="Times New Roman"/>
          <w:lang w:val="en-US" w:eastAsia="zh-CN"/>
        </w:rPr>
      </w:pPr>
    </w:p>
    <w:p>
      <w:pPr>
        <w:ind w:firstLine="3990" w:firstLineChars="1900"/>
        <w:rPr>
          <w:rFonts w:hint="eastAsia" w:ascii="Times New Roman" w:hAnsi="Times New Roman"/>
          <w:lang w:val="en-US" w:eastAsia="zh-CN"/>
        </w:rPr>
      </w:pPr>
    </w:p>
    <w:p>
      <w:pPr>
        <w:ind w:firstLine="1050" w:firstLineChars="500"/>
        <w:rPr>
          <w:rFonts w:hint="eastAsia" w:ascii="Times New Roman" w:hAnsi="Times New Roman"/>
          <w:lang w:val="en-US" w:eastAsia="zh-CN"/>
        </w:rPr>
      </w:pPr>
      <w:r>
        <w:rPr>
          <w:rFonts w:hint="eastAsia" w:ascii="Times New Roman" w:hAnsi="Times New Roman"/>
          <w:lang w:val="en-US" w:eastAsia="zh-CN"/>
        </w:rPr>
        <w:t xml:space="preserve">                            </w:t>
      </w: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ind w:firstLine="1050" w:firstLineChars="500"/>
        <w:rPr>
          <w:rFonts w:hint="eastAsia" w:ascii="Times New Roman" w:hAnsi="Times New Roman"/>
          <w:lang w:val="en-US" w:eastAsia="zh-CN"/>
        </w:rPr>
      </w:pPr>
    </w:p>
    <w:p>
      <w:pPr>
        <w:rPr>
          <w:rFonts w:hint="eastAsia" w:ascii="Times New Roman" w:hAnsi="Times New Roman"/>
          <w:lang w:val="en-US" w:eastAsia="zh-CN"/>
        </w:rPr>
      </w:pPr>
    </w:p>
    <w:p>
      <w:pPr>
        <w:rPr>
          <w:rFonts w:hint="eastAsia" w:ascii="Times New Roman" w:hAnsi="Times New Roman"/>
          <w:lang w:val="en-US" w:eastAsia="zh-CN"/>
        </w:rPr>
      </w:pPr>
      <w:r>
        <w:rPr>
          <w:rFonts w:hint="eastAsia" w:ascii="Times New Roman" w:hAnsi="Times New Roman"/>
          <w:lang w:val="en-US" w:eastAsia="zh-CN"/>
        </w:rPr>
        <w:t xml:space="preserve">                                     </w:t>
      </w:r>
    </w:p>
    <w:p>
      <w:pPr>
        <w:ind w:firstLine="4200" w:firstLineChars="2000"/>
        <w:rPr>
          <w:rFonts w:hint="default" w:ascii="Times New Roman" w:hAnsi="Times New Roman"/>
          <w:lang w:val="en-US" w:eastAsia="zh-CN"/>
        </w:rPr>
      </w:pPr>
      <w:r>
        <w:rPr>
          <w:rFonts w:hint="eastAsia" w:ascii="Times New Roman" w:hAnsi="Times New Roman"/>
          <w:lang w:val="en-US" w:eastAsia="zh-CN"/>
        </w:rPr>
        <w:t>附 录 L</w:t>
      </w:r>
    </w:p>
    <w:p>
      <w:pPr>
        <w:rPr>
          <w:rFonts w:hint="eastAsia"/>
        </w:rPr>
      </w:pPr>
      <w:r>
        <w:rPr>
          <w:rFonts w:hint="eastAsia" w:ascii="Times New Roman" w:hAnsi="Times New Roman"/>
          <w:lang w:val="en-US" w:eastAsia="zh-CN"/>
        </w:rPr>
        <w:t xml:space="preserve">                                      </w:t>
      </w:r>
      <w:r>
        <w:rPr>
          <w:rFonts w:hint="eastAsia"/>
        </w:rPr>
        <w:t>（规范性）</w:t>
      </w:r>
    </w:p>
    <w:p>
      <w:pPr>
        <w:rPr>
          <w:rFonts w:hint="eastAsia"/>
          <w:lang w:val="en-US" w:eastAsia="zh-CN"/>
        </w:rPr>
      </w:pPr>
      <w:r>
        <w:rPr>
          <w:rFonts w:hint="eastAsia"/>
          <w:lang w:val="en-US" w:eastAsia="zh-CN"/>
        </w:rPr>
        <w:t xml:space="preserve">                                       实验参数</w:t>
      </w:r>
    </w:p>
    <w:p>
      <w:pPr>
        <w:rPr>
          <w:rFonts w:hint="eastAsia"/>
          <w:lang w:val="en-US" w:eastAsia="zh-CN"/>
        </w:rPr>
      </w:pPr>
      <w:r>
        <w:rPr>
          <w:rFonts w:hint="eastAsia"/>
          <w:lang w:val="en-US" w:eastAsia="zh-CN"/>
        </w:rPr>
        <w:t>L.1 过载实验参数</w:t>
      </w:r>
    </w:p>
    <w:p>
      <w:pPr>
        <w:rPr>
          <w:rFonts w:hint="default"/>
          <w:lang w:val="en-US" w:eastAsia="zh-CN"/>
        </w:rPr>
      </w:pPr>
      <w:r>
        <w:rPr>
          <w:rFonts w:hint="eastAsia"/>
          <w:lang w:val="en-US" w:eastAsia="zh-CN"/>
        </w:rPr>
        <w:t xml:space="preserve">    过载实验应按照表L.1规定的参数进行，如使用说明书没有指明抽屉导轨适用的家具类型，则按照商用型处理</w:t>
      </w:r>
    </w:p>
    <w:p>
      <w:pPr>
        <w:numPr>
          <w:ilvl w:val="0"/>
          <w:numId w:val="0"/>
        </w:numPr>
        <w:rPr>
          <w:rFonts w:hint="default" w:ascii="Times New Roman" w:hAnsi="Times New Roman"/>
          <w:lang w:val="en-US" w:eastAsia="zh-CN"/>
        </w:rPr>
      </w:pPr>
      <w:r>
        <w:rPr>
          <w:rFonts w:hint="eastAsia" w:ascii="Times New Roman" w:hAnsi="Times New Roman"/>
          <w:lang w:val="en-US" w:eastAsia="zh-CN"/>
        </w:rPr>
        <w:t xml:space="preserve">                                   表L.1过载实验参数表</w:t>
      </w:r>
    </w:p>
    <w:tbl>
      <w:tblPr>
        <w:tblStyle w:val="27"/>
        <w:tblW w:w="9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46"/>
        <w:gridCol w:w="2160"/>
        <w:gridCol w:w="2130"/>
        <w:gridCol w:w="19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Merge w:val="restart"/>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实验项目</w:t>
            </w:r>
          </w:p>
        </w:tc>
        <w:tc>
          <w:tcPr>
            <w:tcW w:w="2160" w:type="dxa"/>
            <w:vMerge w:val="restart"/>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单位</w:t>
            </w:r>
          </w:p>
        </w:tc>
        <w:tc>
          <w:tcPr>
            <w:tcW w:w="4048" w:type="dxa"/>
            <w:gridSpan w:val="2"/>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实验载荷和次数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Merge w:val="continue"/>
            <w:vAlign w:val="center"/>
          </w:tcPr>
          <w:p>
            <w:pPr>
              <w:numPr>
                <w:ilvl w:val="0"/>
                <w:numId w:val="0"/>
              </w:numPr>
              <w:jc w:val="center"/>
              <w:rPr>
                <w:rFonts w:hint="default" w:ascii="Times New Roman" w:hAnsi="Times New Roman"/>
                <w:vertAlign w:val="baseline"/>
                <w:lang w:val="en-US" w:eastAsia="zh-CN"/>
              </w:rPr>
            </w:pPr>
          </w:p>
        </w:tc>
        <w:tc>
          <w:tcPr>
            <w:tcW w:w="2160" w:type="dxa"/>
            <w:vMerge w:val="continue"/>
            <w:vAlign w:val="center"/>
          </w:tcPr>
          <w:p>
            <w:pPr>
              <w:numPr>
                <w:ilvl w:val="0"/>
                <w:numId w:val="0"/>
              </w:numPr>
              <w:jc w:val="center"/>
              <w:rPr>
                <w:rFonts w:hint="default" w:ascii="Times New Roman" w:hAnsi="Times New Roman"/>
                <w:vertAlign w:val="baseline"/>
                <w:lang w:val="en-US" w:eastAsia="zh-CN"/>
              </w:rPr>
            </w:pPr>
          </w:p>
        </w:tc>
        <w:tc>
          <w:tcPr>
            <w:tcW w:w="213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家用型</w:t>
            </w:r>
          </w:p>
        </w:tc>
        <w:tc>
          <w:tcPr>
            <w:tcW w:w="1918"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商用型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垂直向下静载荷</w:t>
            </w:r>
          </w:p>
        </w:tc>
        <w:tc>
          <w:tcPr>
            <w:tcW w:w="216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N</w:t>
            </w:r>
          </w:p>
        </w:tc>
        <w:tc>
          <w:tcPr>
            <w:tcW w:w="213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250</w:t>
            </w:r>
          </w:p>
        </w:tc>
        <w:tc>
          <w:tcPr>
            <w:tcW w:w="1918"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水平侧向静载荷</w:t>
            </w:r>
          </w:p>
        </w:tc>
        <w:tc>
          <w:tcPr>
            <w:tcW w:w="216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N</w:t>
            </w:r>
          </w:p>
        </w:tc>
        <w:tc>
          <w:tcPr>
            <w:tcW w:w="213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125</w:t>
            </w:r>
          </w:p>
        </w:tc>
        <w:tc>
          <w:tcPr>
            <w:tcW w:w="1918"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猛关     猛开</w:t>
            </w:r>
          </w:p>
        </w:tc>
        <w:tc>
          <w:tcPr>
            <w:tcW w:w="216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次</w:t>
            </w:r>
          </w:p>
        </w:tc>
        <w:tc>
          <w:tcPr>
            <w:tcW w:w="213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10 、 10</w:t>
            </w:r>
          </w:p>
        </w:tc>
        <w:tc>
          <w:tcPr>
            <w:tcW w:w="1918"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10 、 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46"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因子K（用配重和</w:t>
            </w:r>
            <w:r>
              <w:rPr>
                <w:rFonts w:hint="eastAsia" w:ascii="Times New Roman" w:hAnsi="Times New Roman"/>
                <w:lang w:val="en-US" w:eastAsia="zh-CN"/>
              </w:rPr>
              <w:t>绳索的猛关和猛开实验装置</w:t>
            </w:r>
            <w:r>
              <w:rPr>
                <w:rFonts w:hint="eastAsia" w:ascii="Times New Roman" w:hAnsi="Times New Roman"/>
                <w:vertAlign w:val="baseline"/>
                <w:lang w:val="en-US" w:eastAsia="zh-CN"/>
              </w:rPr>
              <w:t>）</w:t>
            </w:r>
          </w:p>
        </w:tc>
        <w:tc>
          <w:tcPr>
            <w:tcW w:w="2160" w:type="dxa"/>
            <w:vAlign w:val="center"/>
          </w:tcPr>
          <w:p>
            <w:pPr>
              <w:numPr>
                <w:ilvl w:val="0"/>
                <w:numId w:val="0"/>
              </w:numPr>
              <w:jc w:val="center"/>
              <w:rPr>
                <w:rFonts w:hint="default" w:ascii="Times New Roman" w:hAnsi="Times New Roman"/>
                <w:vertAlign w:val="baseline"/>
                <w:lang w:val="en-US" w:eastAsia="zh-CN"/>
              </w:rPr>
            </w:pPr>
            <w:r>
              <w:rPr>
                <w:sz w:val="21"/>
              </w:rPr>
              <mc:AlternateContent>
                <mc:Choice Requires="wps">
                  <w:drawing>
                    <wp:anchor distT="0" distB="0" distL="114300" distR="114300" simplePos="0" relativeHeight="251691008" behindDoc="0" locked="0" layoutInCell="1" allowOverlap="1">
                      <wp:simplePos x="0" y="0"/>
                      <wp:positionH relativeFrom="column">
                        <wp:posOffset>302895</wp:posOffset>
                      </wp:positionH>
                      <wp:positionV relativeFrom="paragraph">
                        <wp:posOffset>207645</wp:posOffset>
                      </wp:positionV>
                      <wp:extent cx="628650" cy="0"/>
                      <wp:effectExtent l="0" t="0" r="0" b="0"/>
                      <wp:wrapNone/>
                      <wp:docPr id="19" name="直接连接符 19"/>
                      <wp:cNvGraphicFramePr/>
                      <a:graphic xmlns:a="http://schemas.openxmlformats.org/drawingml/2006/main">
                        <a:graphicData uri="http://schemas.microsoft.com/office/word/2010/wordprocessingShape">
                          <wps:wsp>
                            <wps:cNvCnPr/>
                            <wps:spPr>
                              <a:xfrm>
                                <a:off x="3309620" y="3356610"/>
                                <a:ext cx="6286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23.85pt;margin-top:16.35pt;height:0pt;width:49.5pt;z-index:251691008;mso-width-relative:page;mso-height-relative:page;" filled="f" stroked="t" coordsize="21600,21600" o:gfxdata="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xK4vUNcA&#10;AAAIAQAADwAAAAAAAAABACAAAAAiAAAAZHJzL2Rvd25yZXYueG1sUEsBAhQAFAAAAAgAh07iQGqk&#10;DjTnAQAAkgMAAA4AAAAAAAAAAQAgAAAAJgEAAGRycy9lMm9Eb2MueG1sUEsFBgAAAAAGAAYAWQEA&#10;AH8FAAAAAA==&#10;">
                      <v:fill on="f" focussize="0,0"/>
                      <v:stroke color="#4A7EBB [3204]" joinstyle="round"/>
                      <v:imagedata o:title=""/>
                      <o:lock v:ext="edit" aspectratio="f"/>
                    </v:line>
                  </w:pict>
                </mc:Fallback>
              </mc:AlternateContent>
            </w:r>
          </w:p>
        </w:tc>
        <w:tc>
          <w:tcPr>
            <w:tcW w:w="2130"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2.5</w:t>
            </w:r>
          </w:p>
        </w:tc>
        <w:tc>
          <w:tcPr>
            <w:tcW w:w="1918" w:type="dxa"/>
            <w:vAlign w:val="center"/>
          </w:tcPr>
          <w:p>
            <w:pPr>
              <w:numPr>
                <w:ilvl w:val="0"/>
                <w:numId w:val="0"/>
              </w:numPr>
              <w:jc w:val="center"/>
              <w:rPr>
                <w:rFonts w:hint="default" w:ascii="Times New Roman" w:hAnsi="Times New Roman"/>
                <w:vertAlign w:val="baseline"/>
                <w:lang w:val="en-US" w:eastAsia="zh-CN"/>
              </w:rPr>
            </w:pPr>
            <w:r>
              <w:rPr>
                <w:rFonts w:hint="eastAsia" w:ascii="Times New Roman" w:hAnsi="Times New Roman"/>
                <w:vertAlign w:val="baseline"/>
                <w:lang w:val="en-US" w:eastAsia="zh-CN"/>
              </w:rPr>
              <w:t>2.5</w:t>
            </w:r>
          </w:p>
        </w:tc>
      </w:tr>
    </w:tbl>
    <w:p>
      <w:pPr>
        <w:numPr>
          <w:ilvl w:val="0"/>
          <w:numId w:val="0"/>
        </w:numPr>
        <w:rPr>
          <w:rFonts w:hint="default" w:ascii="Times New Roman" w:hAnsi="Times New Roman"/>
          <w:lang w:val="en-US" w:eastAsia="zh-CN"/>
        </w:rPr>
      </w:pPr>
    </w:p>
    <w:p>
      <w:pPr>
        <w:numPr>
          <w:ilvl w:val="0"/>
          <w:numId w:val="0"/>
        </w:numPr>
        <w:rPr>
          <w:rFonts w:hint="eastAsia" w:ascii="Times New Roman" w:hAnsi="Times New Roman"/>
          <w:lang w:val="en-US" w:eastAsia="zh-CN"/>
        </w:rPr>
      </w:pPr>
      <w:r>
        <w:rPr>
          <w:rFonts w:hint="eastAsia" w:ascii="Times New Roman" w:hAnsi="Times New Roman"/>
          <w:lang w:val="en-US" w:eastAsia="zh-CN"/>
        </w:rPr>
        <w:t>L.2 功能实验参数</w:t>
      </w:r>
    </w:p>
    <w:p>
      <w:pPr>
        <w:rPr>
          <w:rFonts w:hint="eastAsia"/>
          <w:lang w:val="en-US" w:eastAsia="zh-CN"/>
        </w:rPr>
      </w:pPr>
      <w:r>
        <w:rPr>
          <w:rFonts w:hint="eastAsia" w:ascii="Times New Roman" w:hAnsi="Times New Roman"/>
          <w:lang w:val="en-US" w:eastAsia="zh-CN"/>
        </w:rPr>
        <w:t xml:space="preserve">   功能实验参数应参照L.2规定的参数进行，</w:t>
      </w:r>
      <w:r>
        <w:rPr>
          <w:rFonts w:hint="eastAsia"/>
          <w:lang w:val="en-US" w:eastAsia="zh-CN"/>
        </w:rPr>
        <w:t>如使用说明书没有指明抽屉导轨适用的家具类型，则按照商用型处理</w:t>
      </w:r>
    </w:p>
    <w:p>
      <w:pPr>
        <w:rPr>
          <w:rFonts w:hint="default"/>
          <w:lang w:val="en-US" w:eastAsia="zh-CN"/>
        </w:rPr>
      </w:pPr>
      <w:r>
        <w:rPr>
          <w:rFonts w:hint="eastAsia"/>
          <w:lang w:val="en-US" w:eastAsia="zh-CN"/>
        </w:rPr>
        <w:t xml:space="preserve">                                   表L.2功能实验参数表                         </w:t>
      </w:r>
    </w:p>
    <w:tbl>
      <w:tblPr>
        <w:tblStyle w:val="27"/>
        <w:tblW w:w="985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61"/>
        <w:gridCol w:w="1470"/>
        <w:gridCol w:w="2820"/>
        <w:gridCol w:w="19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Merge w:val="restart"/>
            <w:vAlign w:val="center"/>
          </w:tcPr>
          <w:p>
            <w:pPr>
              <w:jc w:val="center"/>
              <w:rPr>
                <w:rFonts w:hint="default"/>
                <w:vertAlign w:val="baseline"/>
                <w:lang w:val="en-US" w:eastAsia="zh-CN"/>
              </w:rPr>
            </w:pPr>
            <w:r>
              <w:rPr>
                <w:rFonts w:hint="eastAsia"/>
                <w:vertAlign w:val="baseline"/>
                <w:lang w:val="en-US" w:eastAsia="zh-CN"/>
              </w:rPr>
              <w:t>实验项目</w:t>
            </w:r>
          </w:p>
        </w:tc>
        <w:tc>
          <w:tcPr>
            <w:tcW w:w="1470" w:type="dxa"/>
            <w:vMerge w:val="restart"/>
            <w:vAlign w:val="center"/>
          </w:tcPr>
          <w:p>
            <w:pPr>
              <w:jc w:val="center"/>
              <w:rPr>
                <w:rFonts w:hint="default"/>
                <w:vertAlign w:val="baseline"/>
                <w:lang w:val="en-US" w:eastAsia="zh-CN"/>
              </w:rPr>
            </w:pPr>
            <w:r>
              <w:rPr>
                <w:rFonts w:hint="eastAsia"/>
                <w:vertAlign w:val="baseline"/>
                <w:lang w:val="en-US" w:eastAsia="zh-CN"/>
              </w:rPr>
              <w:t>单位</w:t>
            </w:r>
          </w:p>
        </w:tc>
        <w:tc>
          <w:tcPr>
            <w:tcW w:w="4723" w:type="dxa"/>
            <w:gridSpan w:val="2"/>
            <w:vAlign w:val="center"/>
          </w:tcPr>
          <w:p>
            <w:pPr>
              <w:jc w:val="center"/>
              <w:rPr>
                <w:rFonts w:hint="default"/>
                <w:vertAlign w:val="baseline"/>
                <w:lang w:val="en-US" w:eastAsia="zh-CN"/>
              </w:rPr>
            </w:pPr>
            <w:r>
              <w:rPr>
                <w:rFonts w:hint="eastAsia"/>
                <w:vertAlign w:val="baseline"/>
                <w:lang w:val="en-US" w:eastAsia="zh-CN"/>
              </w:rPr>
              <w:t>载荷 、循环次数和速度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Merge w:val="continue"/>
            <w:vAlign w:val="center"/>
          </w:tcPr>
          <w:p>
            <w:pPr>
              <w:jc w:val="center"/>
              <w:rPr>
                <w:rFonts w:hint="default"/>
                <w:vertAlign w:val="baseline"/>
                <w:lang w:val="en-US" w:eastAsia="zh-CN"/>
              </w:rPr>
            </w:pPr>
          </w:p>
        </w:tc>
        <w:tc>
          <w:tcPr>
            <w:tcW w:w="1470" w:type="dxa"/>
            <w:vMerge w:val="continue"/>
            <w:vAlign w:val="center"/>
          </w:tcPr>
          <w:p>
            <w:pPr>
              <w:jc w:val="center"/>
              <w:rPr>
                <w:rFonts w:hint="default"/>
                <w:vertAlign w:val="baseline"/>
                <w:lang w:val="en-US" w:eastAsia="zh-CN"/>
              </w:rPr>
            </w:pPr>
          </w:p>
        </w:tc>
        <w:tc>
          <w:tcPr>
            <w:tcW w:w="2820" w:type="dxa"/>
            <w:vAlign w:val="center"/>
          </w:tcPr>
          <w:p>
            <w:pPr>
              <w:jc w:val="center"/>
              <w:rPr>
                <w:rFonts w:hint="default"/>
                <w:vertAlign w:val="baseline"/>
                <w:lang w:val="en-US" w:eastAsia="zh-CN"/>
              </w:rPr>
            </w:pPr>
            <w:r>
              <w:rPr>
                <w:rFonts w:hint="eastAsia"/>
                <w:vertAlign w:val="baseline"/>
                <w:lang w:val="en-US" w:eastAsia="zh-CN"/>
              </w:rPr>
              <w:t>家用型</w:t>
            </w:r>
          </w:p>
        </w:tc>
        <w:tc>
          <w:tcPr>
            <w:tcW w:w="1903" w:type="dxa"/>
            <w:vAlign w:val="center"/>
          </w:tcPr>
          <w:p>
            <w:pPr>
              <w:jc w:val="center"/>
              <w:rPr>
                <w:rFonts w:hint="default"/>
                <w:vertAlign w:val="baseline"/>
                <w:lang w:val="en-US" w:eastAsia="zh-CN"/>
              </w:rPr>
            </w:pPr>
            <w:r>
              <w:rPr>
                <w:rFonts w:hint="eastAsia"/>
                <w:vertAlign w:val="baseline"/>
                <w:lang w:val="en-US" w:eastAsia="zh-CN"/>
              </w:rPr>
              <w:t>商用型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Align w:val="center"/>
          </w:tcPr>
          <w:p>
            <w:pPr>
              <w:jc w:val="center"/>
              <w:rPr>
                <w:rFonts w:hint="default"/>
                <w:vertAlign w:val="baseline"/>
                <w:lang w:val="en-US" w:eastAsia="zh-CN"/>
              </w:rPr>
            </w:pPr>
            <w:r>
              <w:rPr>
                <w:rFonts w:hint="eastAsia"/>
                <w:vertAlign w:val="baseline"/>
                <w:lang w:val="en-US" w:eastAsia="zh-CN"/>
              </w:rPr>
              <w:t>抽屉导轨组件底部变形</w:t>
            </w:r>
          </w:p>
        </w:tc>
        <w:tc>
          <w:tcPr>
            <w:tcW w:w="1470" w:type="dxa"/>
            <w:vAlign w:val="center"/>
          </w:tcPr>
          <w:p>
            <w:pPr>
              <w:jc w:val="center"/>
              <w:rPr>
                <w:rFonts w:hint="default"/>
                <w:vertAlign w:val="baseline"/>
                <w:lang w:val="en-US" w:eastAsia="zh-CN"/>
              </w:rPr>
            </w:pPr>
            <w:r>
              <w:rPr>
                <w:rFonts w:hint="eastAsia"/>
                <w:vertAlign w:val="baseline"/>
                <w:lang w:val="en-US" w:eastAsia="zh-CN"/>
              </w:rPr>
              <w:t>Kg</w:t>
            </w:r>
          </w:p>
        </w:tc>
        <w:tc>
          <w:tcPr>
            <w:tcW w:w="4723" w:type="dxa"/>
            <w:gridSpan w:val="2"/>
            <w:vAlign w:val="center"/>
          </w:tcPr>
          <w:p>
            <w:pPr>
              <w:jc w:val="center"/>
              <w:rPr>
                <w:rFonts w:hint="default"/>
                <w:vertAlign w:val="baseline"/>
                <w:lang w:val="en-US" w:eastAsia="zh-CN"/>
              </w:rPr>
            </w:pPr>
            <w:r>
              <w:rPr>
                <w:rFonts w:hint="default" w:ascii="Times New Roman" w:hAnsi="Times New Roman" w:cs="Times New Roman"/>
                <w:vertAlign w:val="baseline"/>
                <w:lang w:val="en-US" w:eastAsia="zh-CN"/>
              </w:rPr>
              <w:t>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3661" w:type="dxa"/>
            <w:vAlign w:val="center"/>
          </w:tcPr>
          <w:p>
            <w:pPr>
              <w:jc w:val="center"/>
              <w:rPr>
                <w:rFonts w:hint="default"/>
                <w:vertAlign w:val="baseline"/>
                <w:lang w:val="en-US" w:eastAsia="zh-CN"/>
              </w:rPr>
            </w:pPr>
            <w:r>
              <w:rPr>
                <w:rFonts w:hint="eastAsia"/>
                <w:vertAlign w:val="baseline"/>
                <w:lang w:val="en-US" w:eastAsia="zh-CN"/>
              </w:rPr>
              <w:t>抽屉导轨组件结构强度</w:t>
            </w:r>
          </w:p>
        </w:tc>
        <w:tc>
          <w:tcPr>
            <w:tcW w:w="1470" w:type="dxa"/>
            <w:vAlign w:val="center"/>
          </w:tcPr>
          <w:p>
            <w:pPr>
              <w:jc w:val="center"/>
              <w:rPr>
                <w:rFonts w:hint="default"/>
                <w:vertAlign w:val="baseline"/>
                <w:lang w:val="en-US" w:eastAsia="zh-CN"/>
              </w:rPr>
            </w:pPr>
            <w:r>
              <w:rPr>
                <w:rFonts w:hint="eastAsia"/>
                <w:vertAlign w:val="baseline"/>
                <w:lang w:val="en-US" w:eastAsia="zh-CN"/>
              </w:rPr>
              <w:t>N</w:t>
            </w:r>
          </w:p>
        </w:tc>
        <w:tc>
          <w:tcPr>
            <w:tcW w:w="4723" w:type="dxa"/>
            <w:gridSpan w:val="2"/>
            <w:vAlign w:val="center"/>
          </w:tcPr>
          <w:p>
            <w:pPr>
              <w:jc w:val="center"/>
              <w:rPr>
                <w:rFonts w:hint="default"/>
                <w:vertAlign w:val="baseline"/>
                <w:lang w:val="en-US" w:eastAsia="zh-CN"/>
              </w:rPr>
            </w:pPr>
            <w:r>
              <w:rPr>
                <w:rFonts w:hint="eastAsia"/>
                <w:vertAlign w:val="baseline"/>
                <w:lang w:val="en-US" w:eastAsia="zh-CN"/>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Align w:val="center"/>
          </w:tcPr>
          <w:p>
            <w:pPr>
              <w:jc w:val="center"/>
              <w:rPr>
                <w:rFonts w:hint="default"/>
                <w:vertAlign w:val="baseline"/>
                <w:lang w:val="en-US" w:eastAsia="zh-CN"/>
              </w:rPr>
            </w:pPr>
            <w:r>
              <w:rPr>
                <w:rFonts w:hint="eastAsia"/>
                <w:vertAlign w:val="baseline"/>
                <w:lang w:val="en-US" w:eastAsia="zh-CN"/>
              </w:rPr>
              <w:t>耐 久 性</w:t>
            </w:r>
          </w:p>
        </w:tc>
        <w:tc>
          <w:tcPr>
            <w:tcW w:w="1470" w:type="dxa"/>
            <w:vAlign w:val="center"/>
          </w:tcPr>
          <w:p>
            <w:pPr>
              <w:jc w:val="center"/>
              <w:rPr>
                <w:rFonts w:hint="default"/>
                <w:vertAlign w:val="baseline"/>
                <w:lang w:val="en-US" w:eastAsia="zh-CN"/>
              </w:rPr>
            </w:pPr>
            <w:r>
              <w:rPr>
                <w:rFonts w:hint="eastAsia"/>
                <w:vertAlign w:val="baseline"/>
                <w:lang w:val="en-US" w:eastAsia="zh-CN"/>
              </w:rPr>
              <w:t>次数</w:t>
            </w:r>
          </w:p>
        </w:tc>
        <w:tc>
          <w:tcPr>
            <w:tcW w:w="2820" w:type="dxa"/>
            <w:vAlign w:val="center"/>
          </w:tcPr>
          <w:p>
            <w:pPr>
              <w:jc w:val="center"/>
              <w:rPr>
                <w:rFonts w:hint="default"/>
                <w:vertAlign w:val="baseline"/>
                <w:lang w:val="en-US" w:eastAsia="zh-CN"/>
              </w:rPr>
            </w:pPr>
            <w:r>
              <w:rPr>
                <w:rFonts w:hint="eastAsia"/>
                <w:vertAlign w:val="baseline"/>
                <w:lang w:val="en-US" w:eastAsia="zh-CN"/>
              </w:rPr>
              <w:t>40000</w:t>
            </w:r>
          </w:p>
        </w:tc>
        <w:tc>
          <w:tcPr>
            <w:tcW w:w="1903" w:type="dxa"/>
            <w:vAlign w:val="center"/>
          </w:tcPr>
          <w:p>
            <w:pPr>
              <w:jc w:val="center"/>
              <w:rPr>
                <w:rFonts w:hint="default"/>
                <w:vertAlign w:val="baseline"/>
                <w:lang w:val="en-US" w:eastAsia="zh-CN"/>
              </w:rPr>
            </w:pPr>
            <w:r>
              <w:rPr>
                <w:rFonts w:hint="eastAsia"/>
                <w:vertAlign w:val="baseline"/>
                <w:lang w:val="en-US" w:eastAsia="zh-CN"/>
              </w:rPr>
              <w:t>80000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Align w:val="center"/>
          </w:tcPr>
          <w:p>
            <w:pPr>
              <w:jc w:val="center"/>
              <w:rPr>
                <w:rFonts w:hint="default"/>
                <w:vertAlign w:val="baseline"/>
                <w:lang w:val="en-US" w:eastAsia="zh-CN"/>
              </w:rPr>
            </w:pPr>
            <w:r>
              <w:rPr>
                <w:rFonts w:hint="eastAsia"/>
                <w:vertAlign w:val="baseline"/>
                <w:lang w:val="en-US" w:eastAsia="zh-CN"/>
              </w:rPr>
              <w:t>垂直向下静载荷</w:t>
            </w:r>
          </w:p>
        </w:tc>
        <w:tc>
          <w:tcPr>
            <w:tcW w:w="1470" w:type="dxa"/>
            <w:vAlign w:val="center"/>
          </w:tcPr>
          <w:p>
            <w:pPr>
              <w:jc w:val="center"/>
              <w:rPr>
                <w:rFonts w:hint="default"/>
                <w:vertAlign w:val="baseline"/>
                <w:lang w:val="en-US" w:eastAsia="zh-CN"/>
              </w:rPr>
            </w:pPr>
            <w:r>
              <w:rPr>
                <w:rFonts w:hint="eastAsia"/>
                <w:vertAlign w:val="baseline"/>
                <w:lang w:val="en-US" w:eastAsia="zh-CN"/>
              </w:rPr>
              <w:t>N</w:t>
            </w:r>
          </w:p>
        </w:tc>
        <w:tc>
          <w:tcPr>
            <w:tcW w:w="2820" w:type="dxa"/>
            <w:vAlign w:val="center"/>
          </w:tcPr>
          <w:p>
            <w:pPr>
              <w:jc w:val="center"/>
              <w:rPr>
                <w:rFonts w:hint="default"/>
                <w:vertAlign w:val="baseline"/>
                <w:lang w:val="en-US" w:eastAsia="zh-CN"/>
              </w:rPr>
            </w:pPr>
            <w:r>
              <w:rPr>
                <w:rFonts w:hint="eastAsia"/>
                <w:vertAlign w:val="baseline"/>
                <w:lang w:val="en-US" w:eastAsia="zh-CN"/>
              </w:rPr>
              <w:t>150</w:t>
            </w:r>
          </w:p>
        </w:tc>
        <w:tc>
          <w:tcPr>
            <w:tcW w:w="1903" w:type="dxa"/>
            <w:vAlign w:val="center"/>
          </w:tcPr>
          <w:p>
            <w:pPr>
              <w:jc w:val="center"/>
              <w:rPr>
                <w:rFonts w:hint="default"/>
                <w:vertAlign w:val="baseline"/>
                <w:lang w:val="en-US" w:eastAsia="zh-CN"/>
              </w:rPr>
            </w:pPr>
            <w:r>
              <w:rPr>
                <w:rFonts w:hint="eastAsia"/>
                <w:vertAlign w:val="baseline"/>
                <w:lang w:val="en-US" w:eastAsia="zh-CN"/>
              </w:rPr>
              <w:t>200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661" w:type="dxa"/>
            <w:vAlign w:val="center"/>
          </w:tcPr>
          <w:p>
            <w:pPr>
              <w:jc w:val="center"/>
              <w:rPr>
                <w:rFonts w:hint="default"/>
                <w:vertAlign w:val="baseline"/>
                <w:lang w:val="en-US" w:eastAsia="zh-CN"/>
              </w:rPr>
            </w:pPr>
            <w:r>
              <w:rPr>
                <w:rFonts w:hint="eastAsia"/>
                <w:vertAlign w:val="baseline"/>
                <w:lang w:val="en-US" w:eastAsia="zh-CN"/>
              </w:rPr>
              <w:t>水平侧向静载荷</w:t>
            </w:r>
          </w:p>
        </w:tc>
        <w:tc>
          <w:tcPr>
            <w:tcW w:w="1470" w:type="dxa"/>
            <w:vAlign w:val="center"/>
          </w:tcPr>
          <w:p>
            <w:pPr>
              <w:jc w:val="center"/>
              <w:rPr>
                <w:rFonts w:hint="default"/>
                <w:vertAlign w:val="baseline"/>
                <w:lang w:val="en-US" w:eastAsia="zh-CN"/>
              </w:rPr>
            </w:pPr>
            <w:r>
              <w:rPr>
                <w:rFonts w:hint="eastAsia"/>
                <w:vertAlign w:val="baseline"/>
                <w:lang w:val="en-US" w:eastAsia="zh-CN"/>
              </w:rPr>
              <w:t>N</w:t>
            </w:r>
          </w:p>
        </w:tc>
        <w:tc>
          <w:tcPr>
            <w:tcW w:w="2820" w:type="dxa"/>
            <w:vAlign w:val="center"/>
          </w:tcPr>
          <w:p>
            <w:pPr>
              <w:jc w:val="center"/>
              <w:rPr>
                <w:rFonts w:hint="default"/>
                <w:vertAlign w:val="baseline"/>
                <w:lang w:val="en-US" w:eastAsia="zh-CN"/>
              </w:rPr>
            </w:pPr>
            <w:r>
              <w:rPr>
                <w:rFonts w:hint="eastAsia"/>
                <w:vertAlign w:val="baseline"/>
                <w:lang w:val="en-US" w:eastAsia="zh-CN"/>
              </w:rPr>
              <w:t>75</w:t>
            </w:r>
          </w:p>
        </w:tc>
        <w:tc>
          <w:tcPr>
            <w:tcW w:w="1903" w:type="dxa"/>
            <w:vAlign w:val="center"/>
          </w:tcPr>
          <w:p>
            <w:pPr>
              <w:jc w:val="center"/>
              <w:rPr>
                <w:rFonts w:hint="default"/>
                <w:vertAlign w:val="baseline"/>
                <w:lang w:val="en-US" w:eastAsia="zh-CN"/>
              </w:rPr>
            </w:pPr>
            <w:r>
              <w:rPr>
                <w:rFonts w:hint="eastAsia"/>
                <w:vertAlign w:val="baseline"/>
                <w:lang w:val="en-US" w:eastAsia="zh-CN"/>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92" w:hRule="atLeast"/>
        </w:trPr>
        <w:tc>
          <w:tcPr>
            <w:tcW w:w="3661" w:type="dxa"/>
            <w:vAlign w:val="center"/>
          </w:tcPr>
          <w:p>
            <w:pPr>
              <w:jc w:val="center"/>
              <w:rPr>
                <w:rFonts w:hint="default"/>
                <w:vertAlign w:val="baseline"/>
                <w:lang w:val="en-US" w:eastAsia="zh-CN"/>
              </w:rPr>
            </w:pPr>
            <w:r>
              <w:rPr>
                <w:rFonts w:hint="eastAsia"/>
                <w:vertAlign w:val="baseline"/>
                <w:lang w:val="en-US" w:eastAsia="zh-CN"/>
              </w:rPr>
              <w:t>拉出安全性</w:t>
            </w:r>
          </w:p>
        </w:tc>
        <w:tc>
          <w:tcPr>
            <w:tcW w:w="1470" w:type="dxa"/>
            <w:vAlign w:val="center"/>
          </w:tcPr>
          <w:p>
            <w:pPr>
              <w:jc w:val="center"/>
              <w:rPr>
                <w:rFonts w:hint="default"/>
                <w:vertAlign w:val="baseline"/>
                <w:lang w:val="en-US" w:eastAsia="zh-CN"/>
              </w:rPr>
            </w:pPr>
            <w:r>
              <w:rPr>
                <w:sz w:val="21"/>
              </w:rPr>
              <mc:AlternateContent>
                <mc:Choice Requires="wps">
                  <w:drawing>
                    <wp:anchor distT="0" distB="0" distL="114300" distR="114300" simplePos="0" relativeHeight="251726848" behindDoc="0" locked="0" layoutInCell="1" allowOverlap="1">
                      <wp:simplePos x="0" y="0"/>
                      <wp:positionH relativeFrom="column">
                        <wp:posOffset>74295</wp:posOffset>
                      </wp:positionH>
                      <wp:positionV relativeFrom="paragraph">
                        <wp:posOffset>517525</wp:posOffset>
                      </wp:positionV>
                      <wp:extent cx="600075" cy="0"/>
                      <wp:effectExtent l="0" t="0" r="0" b="0"/>
                      <wp:wrapNone/>
                      <wp:docPr id="21" name="直接连接符 21"/>
                      <wp:cNvGraphicFramePr/>
                      <a:graphic xmlns:a="http://schemas.openxmlformats.org/drawingml/2006/main">
                        <a:graphicData uri="http://schemas.microsoft.com/office/word/2010/wordprocessingShape">
                          <wps:wsp>
                            <wps:cNvCnPr/>
                            <wps:spPr>
                              <a:xfrm>
                                <a:off x="0" y="0"/>
                                <a:ext cx="600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85pt;margin-top:40.75pt;height:0pt;width:47.25pt;z-index:251726848;mso-width-relative:page;mso-height-relative:page;" filled="f" stroked="t" coordsize="21600,21600" o:gfxdata="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8RgN+NYAAAAIAQAADwAAAAAAAAAB&#10;ACAAAAAiAAAAZHJzL2Rvd25yZXYueG1sUEsBAhQAFAAAAAgAh07iQKUx+e3ZAQAAhgMAAA4AAAAA&#10;AAAAAQAgAAAAJQEAAGRycy9lMm9Eb2MueG1sUEsFBgAAAAAGAAYAWQEAAHAFAAAAAA==&#10;">
                      <v:fill on="f" focussize="0,0"/>
                      <v:stroke color="#4A7EBB [3204]" joinstyle="round"/>
                      <v:imagedata o:title=""/>
                      <o:lock v:ext="edit" aspectratio="f"/>
                    </v:line>
                  </w:pict>
                </mc:Fallback>
              </mc:AlternateContent>
            </w:r>
          </w:p>
        </w:tc>
        <w:tc>
          <w:tcPr>
            <w:tcW w:w="4723" w:type="dxa"/>
            <w:gridSpan w:val="2"/>
            <w:vAlign w:val="center"/>
          </w:tcPr>
          <w:p>
            <w:pPr>
              <w:jc w:val="both"/>
              <w:rPr>
                <w:rFonts w:hint="eastAsia"/>
                <w:vertAlign w:val="baseline"/>
                <w:lang w:val="en-US" w:eastAsia="zh-CN"/>
              </w:rPr>
            </w:pPr>
            <w:r>
              <w:rPr>
                <w:rFonts w:hint="eastAsia"/>
                <w:vertAlign w:val="baseline"/>
                <w:lang w:val="en-US" w:eastAsia="zh-CN"/>
              </w:rPr>
              <w:t>实验负荷≤20Kg，实验速度V=0.3m/秒</w:t>
            </w:r>
          </w:p>
          <w:p>
            <w:pPr>
              <w:jc w:val="both"/>
              <w:rPr>
                <w:rFonts w:hint="eastAsia"/>
                <w:vertAlign w:val="baseline"/>
                <w:lang w:val="en-US" w:eastAsia="zh-CN"/>
              </w:rPr>
            </w:pPr>
            <w:r>
              <w:rPr>
                <w:rFonts w:hint="eastAsia"/>
                <w:vertAlign w:val="baseline"/>
                <w:lang w:val="en-US" w:eastAsia="zh-CN"/>
              </w:rPr>
              <w:t>20Kg＜实验负荷≤40Kg，实验速度V=0.25m/秒</w:t>
            </w:r>
          </w:p>
          <w:p>
            <w:pPr>
              <w:jc w:val="both"/>
              <w:rPr>
                <w:rFonts w:hint="default"/>
                <w:vertAlign w:val="baseline"/>
                <w:lang w:val="en-US" w:eastAsia="zh-CN"/>
              </w:rPr>
            </w:pPr>
            <w:r>
              <w:rPr>
                <w:rFonts w:hint="eastAsia"/>
                <w:vertAlign w:val="baseline"/>
                <w:lang w:val="en-US" w:eastAsia="zh-CN"/>
              </w:rPr>
              <w:t>实验负荷＞40Kg，实验速度V=0.2m/秒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7" w:hRule="atLeast"/>
        </w:trPr>
        <w:tc>
          <w:tcPr>
            <w:tcW w:w="3661" w:type="dxa"/>
            <w:vAlign w:val="center"/>
          </w:tcPr>
          <w:p>
            <w:pPr>
              <w:jc w:val="center"/>
              <w:rPr>
                <w:rFonts w:hint="default"/>
                <w:vertAlign w:val="baseline"/>
                <w:lang w:val="en-US" w:eastAsia="zh-CN"/>
              </w:rPr>
            </w:pPr>
            <w:r>
              <w:rPr>
                <w:rFonts w:hint="eastAsia"/>
                <w:vertAlign w:val="baseline"/>
                <w:lang w:val="en-US" w:eastAsia="zh-CN"/>
              </w:rPr>
              <w:t>猛关    猛开</w:t>
            </w:r>
          </w:p>
        </w:tc>
        <w:tc>
          <w:tcPr>
            <w:tcW w:w="1470" w:type="dxa"/>
            <w:vAlign w:val="center"/>
          </w:tcPr>
          <w:p>
            <w:pPr>
              <w:jc w:val="center"/>
              <w:rPr>
                <w:rFonts w:hint="default"/>
                <w:vertAlign w:val="baseline"/>
                <w:lang w:val="en-US" w:eastAsia="zh-CN"/>
              </w:rPr>
            </w:pPr>
            <w:r>
              <w:rPr>
                <w:rFonts w:hint="eastAsia"/>
                <w:vertAlign w:val="baseline"/>
                <w:lang w:val="en-US" w:eastAsia="zh-CN"/>
              </w:rPr>
              <w:t>次数</w:t>
            </w:r>
          </w:p>
        </w:tc>
        <w:tc>
          <w:tcPr>
            <w:tcW w:w="2820" w:type="dxa"/>
            <w:vAlign w:val="center"/>
          </w:tcPr>
          <w:p>
            <w:pPr>
              <w:jc w:val="center"/>
              <w:rPr>
                <w:rFonts w:hint="default"/>
                <w:vertAlign w:val="baseline"/>
                <w:lang w:val="en-US" w:eastAsia="zh-CN"/>
              </w:rPr>
            </w:pPr>
            <w:r>
              <w:rPr>
                <w:rFonts w:hint="eastAsia"/>
                <w:vertAlign w:val="baseline"/>
                <w:lang w:val="en-US" w:eastAsia="zh-CN"/>
              </w:rPr>
              <w:t>10 、10</w:t>
            </w:r>
          </w:p>
        </w:tc>
        <w:tc>
          <w:tcPr>
            <w:tcW w:w="1903" w:type="dxa"/>
            <w:vAlign w:val="center"/>
          </w:tcPr>
          <w:p>
            <w:pPr>
              <w:jc w:val="center"/>
              <w:rPr>
                <w:rFonts w:hint="default"/>
                <w:vertAlign w:val="baseline"/>
                <w:lang w:val="en-US" w:eastAsia="zh-CN"/>
              </w:rPr>
            </w:pPr>
            <w:r>
              <w:rPr>
                <w:rFonts w:hint="eastAsia"/>
                <w:vertAlign w:val="baseline"/>
                <w:lang w:val="en-US" w:eastAsia="zh-CN"/>
              </w:rPr>
              <w:t>10 、10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6" w:hRule="atLeast"/>
        </w:trPr>
        <w:tc>
          <w:tcPr>
            <w:tcW w:w="3661" w:type="dxa"/>
            <w:vAlign w:val="center"/>
          </w:tcPr>
          <w:p>
            <w:pPr>
              <w:jc w:val="center"/>
              <w:rPr>
                <w:rFonts w:hint="default"/>
                <w:vertAlign w:val="baseline"/>
                <w:lang w:val="en-US" w:eastAsia="zh-CN"/>
              </w:rPr>
            </w:pPr>
            <w:r>
              <w:rPr>
                <w:rFonts w:hint="eastAsia" w:ascii="Times New Roman" w:hAnsi="Times New Roman"/>
                <w:vertAlign w:val="baseline"/>
                <w:lang w:val="en-US" w:eastAsia="zh-CN"/>
              </w:rPr>
              <w:t>因子K（用配重和</w:t>
            </w:r>
            <w:r>
              <w:rPr>
                <w:rFonts w:hint="eastAsia" w:ascii="Times New Roman" w:hAnsi="Times New Roman"/>
                <w:lang w:val="en-US" w:eastAsia="zh-CN"/>
              </w:rPr>
              <w:t>绳索的猛关和猛开实验装置</w:t>
            </w:r>
            <w:r>
              <w:rPr>
                <w:rFonts w:hint="eastAsia" w:ascii="Times New Roman" w:hAnsi="Times New Roman"/>
                <w:vertAlign w:val="baseline"/>
                <w:lang w:val="en-US" w:eastAsia="zh-CN"/>
              </w:rPr>
              <w:t>）</w:t>
            </w:r>
          </w:p>
        </w:tc>
        <w:tc>
          <w:tcPr>
            <w:tcW w:w="1470" w:type="dxa"/>
            <w:vAlign w:val="center"/>
          </w:tcPr>
          <w:p>
            <w:pPr>
              <w:jc w:val="center"/>
              <w:rPr>
                <w:rFonts w:hint="default"/>
                <w:vertAlign w:val="baseline"/>
                <w:lang w:val="en-US" w:eastAsia="zh-CN"/>
              </w:rPr>
            </w:pPr>
            <w:r>
              <w:rPr>
                <w:sz w:val="21"/>
              </w:rPr>
              <mc:AlternateContent>
                <mc:Choice Requires="wps">
                  <w:drawing>
                    <wp:anchor distT="0" distB="0" distL="114300" distR="114300" simplePos="0" relativeHeight="251692032" behindDoc="0" locked="0" layoutInCell="1" allowOverlap="1">
                      <wp:simplePos x="0" y="0"/>
                      <wp:positionH relativeFrom="column">
                        <wp:posOffset>74295</wp:posOffset>
                      </wp:positionH>
                      <wp:positionV relativeFrom="paragraph">
                        <wp:posOffset>226695</wp:posOffset>
                      </wp:positionV>
                      <wp:extent cx="600075" cy="0"/>
                      <wp:effectExtent l="0" t="0" r="0" b="0"/>
                      <wp:wrapNone/>
                      <wp:docPr id="20" name="直接连接符 20"/>
                      <wp:cNvGraphicFramePr/>
                      <a:graphic xmlns:a="http://schemas.openxmlformats.org/drawingml/2006/main">
                        <a:graphicData uri="http://schemas.microsoft.com/office/word/2010/wordprocessingShape">
                          <wps:wsp>
                            <wps:cNvCnPr/>
                            <wps:spPr>
                              <a:xfrm>
                                <a:off x="3338195" y="6375400"/>
                                <a:ext cx="600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_x0000_s1026" o:spid="_x0000_s1026" o:spt="20" style="position:absolute;left:0pt;margin-left:5.85pt;margin-top:17.85pt;height:0pt;width:47.25pt;z-index:251692032;mso-width-relative:page;mso-height-relative:page;" filled="f" stroked="t" coordsize="21600,21600" o:gfxdata="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DpffL5&#10;1wAAAAgBAAAPAAAAAAAAAAEAIAAAACIAAABkcnMvZG93bnJldi54bWxQSwECFAAUAAAACACHTuJA&#10;FqyYp+kBAACSAwAADgAAAAAAAAABACAAAAAmAQAAZHJzL2Uyb0RvYy54bWxQSwUGAAAAAAYABgBZ&#10;AQAAgQUAAAAA&#10;">
                      <v:fill on="f" focussize="0,0"/>
                      <v:stroke color="#4A7EBB [3204]" joinstyle="round"/>
                      <v:imagedata o:title=""/>
                      <o:lock v:ext="edit" aspectratio="f"/>
                    </v:line>
                  </w:pict>
                </mc:Fallback>
              </mc:AlternateContent>
            </w:r>
          </w:p>
        </w:tc>
        <w:tc>
          <w:tcPr>
            <w:tcW w:w="4723" w:type="dxa"/>
            <w:gridSpan w:val="2"/>
            <w:vAlign w:val="center"/>
          </w:tcPr>
          <w:p>
            <w:pPr>
              <w:jc w:val="center"/>
              <w:rPr>
                <w:rFonts w:hint="default"/>
                <w:vertAlign w:val="baseline"/>
                <w:lang w:val="en-US" w:eastAsia="zh-CN"/>
              </w:rPr>
            </w:pPr>
            <w:r>
              <w:rPr>
                <w:rFonts w:hint="eastAsia"/>
                <w:vertAlign w:val="baseline"/>
                <w:lang w:val="en-US" w:eastAsia="zh-CN"/>
              </w:rPr>
              <w:t>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56" w:hRule="atLeast"/>
        </w:trPr>
        <w:tc>
          <w:tcPr>
            <w:tcW w:w="9854" w:type="dxa"/>
            <w:gridSpan w:val="4"/>
            <w:vAlign w:val="top"/>
          </w:tcPr>
          <w:p>
            <w:pPr>
              <w:ind w:firstLine="420" w:firstLineChars="200"/>
              <w:jc w:val="both"/>
              <w:rPr>
                <w:rFonts w:hint="default"/>
                <w:vertAlign w:val="baseline"/>
                <w:lang w:val="en-US" w:eastAsia="zh-CN"/>
              </w:rPr>
            </w:pPr>
            <w:r>
              <w:rPr>
                <w:rFonts w:hint="eastAsia"/>
                <w:vertAlign w:val="baseline"/>
                <w:lang w:val="en-US" w:eastAsia="zh-CN"/>
              </w:rPr>
              <w:t>商用型如果</w:t>
            </w:r>
            <w:r>
              <w:rPr>
                <w:rFonts w:hint="default" w:ascii="Times New Roman" w:hAnsi="Times New Roman" w:eastAsia="新宋体" w:cs="Times New Roman"/>
                <w:vertAlign w:val="baseline"/>
                <w:lang w:val="en-US" w:eastAsia="zh-CN"/>
              </w:rPr>
              <w:t>M</w:t>
            </w:r>
            <w:r>
              <w:rPr>
                <w:rFonts w:hint="eastAsia"/>
                <w:vertAlign w:val="baseline"/>
                <w:lang w:val="en-US" w:eastAsia="zh-CN"/>
              </w:rPr>
              <w:t>＞15Kg,循环次数为60000次</w:t>
            </w:r>
          </w:p>
        </w:tc>
      </w:tr>
    </w:tbl>
    <w:p>
      <w:pPr>
        <w:rPr>
          <w:rFonts w:hint="default"/>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ind w:firstLine="630" w:firstLineChars="300"/>
        <w:rPr>
          <w:rFonts w:hint="eastAsia" w:ascii="Times New Roman" w:hAnsi="Times New Roman"/>
          <w:lang w:val="en-US" w:eastAsia="zh-CN"/>
        </w:rPr>
      </w:pPr>
      <w:r>
        <w:rPr>
          <w:rFonts w:hint="eastAsia" w:ascii="Times New Roman" w:hAnsi="Times New Roman"/>
          <w:lang w:val="en-US" w:eastAsia="zh-CN"/>
        </w:rPr>
        <w:t xml:space="preserve">                               </w:t>
      </w:r>
    </w:p>
    <w:p>
      <w:pPr>
        <w:ind w:firstLine="3990" w:firstLineChars="1900"/>
        <w:rPr>
          <w:rFonts w:hint="default" w:ascii="Times New Roman" w:hAnsi="Times New Roman"/>
          <w:color w:val="0070C0"/>
          <w:lang w:val="en-US" w:eastAsia="zh-CN"/>
        </w:rPr>
      </w:pPr>
      <w:r>
        <w:rPr>
          <w:rFonts w:hint="eastAsia" w:ascii="Times New Roman" w:hAnsi="Times New Roman"/>
          <w:color w:val="0070C0"/>
          <w:lang w:val="en-US" w:eastAsia="zh-CN"/>
        </w:rPr>
        <w:t xml:space="preserve"> 附 录 N</w:t>
      </w:r>
    </w:p>
    <w:p>
      <w:pPr>
        <w:rPr>
          <w:rFonts w:hint="eastAsia"/>
          <w:color w:val="0070C0"/>
        </w:rPr>
      </w:pPr>
      <w:r>
        <w:rPr>
          <w:rFonts w:hint="eastAsia" w:ascii="Times New Roman" w:hAnsi="Times New Roman"/>
          <w:color w:val="0070C0"/>
          <w:lang w:val="en-US" w:eastAsia="zh-CN"/>
        </w:rPr>
        <w:t xml:space="preserve">                                      </w:t>
      </w:r>
      <w:r>
        <w:rPr>
          <w:rFonts w:hint="eastAsia"/>
          <w:color w:val="0070C0"/>
        </w:rPr>
        <w:t>（规范性）</w:t>
      </w:r>
    </w:p>
    <w:p>
      <w:pPr>
        <w:rPr>
          <w:rFonts w:hint="eastAsia"/>
          <w:color w:val="0070C0"/>
          <w:lang w:val="en-US" w:eastAsia="zh-CN"/>
        </w:rPr>
      </w:pPr>
      <w:r>
        <w:rPr>
          <w:rFonts w:hint="eastAsia"/>
          <w:color w:val="0070C0"/>
          <w:lang w:val="en-US" w:eastAsia="zh-CN"/>
        </w:rPr>
        <w:t xml:space="preserve">                                缓冲防夹手功能</w:t>
      </w:r>
      <w:r>
        <w:rPr>
          <w:rFonts w:hint="eastAsia" w:ascii="Times New Roman" w:hAnsi="Times New Roman"/>
          <w:color w:val="0070C0"/>
          <w:lang w:val="en-US" w:eastAsia="zh-CN"/>
        </w:rPr>
        <w:t>实验测试</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1、实验条件：</w:t>
      </w:r>
    </w:p>
    <w:p>
      <w:pPr>
        <w:numPr>
          <w:ilvl w:val="0"/>
          <w:numId w:val="0"/>
        </w:numPr>
        <w:ind w:firstLine="420" w:firstLineChars="200"/>
        <w:rPr>
          <w:rFonts w:hint="eastAsia" w:ascii="Times New Roman" w:hAnsi="Times New Roman"/>
          <w:color w:val="0070C0"/>
          <w:lang w:val="en-US" w:eastAsia="zh-CN"/>
        </w:rPr>
      </w:pPr>
      <w:r>
        <w:rPr>
          <w:rFonts w:hint="eastAsia"/>
          <w:color w:val="0070C0"/>
          <w:lang w:val="en-US" w:eastAsia="zh-CN"/>
        </w:rPr>
        <w:t>1.1、</w:t>
      </w:r>
      <w:r>
        <w:rPr>
          <w:rFonts w:hint="eastAsia" w:ascii="Times New Roman" w:hAnsi="Times New Roman"/>
          <w:color w:val="0070C0"/>
          <w:lang w:val="en-US" w:eastAsia="zh-CN"/>
        </w:rPr>
        <w:t>测试框架和抽屉。</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1.2、安装抽屉导轨的两块框架侧板外表面的距离由制造商提供，如制造商没有规定，该距离取值为</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（590±10）mm</w:t>
      </w:r>
    </w:p>
    <w:p>
      <w:pPr>
        <w:numPr>
          <w:ilvl w:val="0"/>
          <w:numId w:val="0"/>
        </w:numPr>
        <w:ind w:firstLine="420" w:firstLineChars="200"/>
        <w:rPr>
          <w:rFonts w:hint="eastAsia" w:ascii="Times New Roman" w:hAnsi="Times New Roman"/>
          <w:color w:val="0070C0"/>
          <w:lang w:val="en-US" w:eastAsia="zh-CN"/>
        </w:rPr>
      </w:pPr>
      <w:r>
        <w:rPr>
          <w:rFonts w:hint="eastAsia" w:ascii="Times New Roman" w:hAnsi="Times New Roman"/>
          <w:color w:val="0070C0"/>
          <w:lang w:val="en-US" w:eastAsia="zh-CN"/>
        </w:rPr>
        <w:t>1.3、测试所用抽屉尺寸和质量由制造商提供，如制造商没有规定，抽屉面板的长度、宽度分别取</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（570±10）mm、（140±10）mm，抽屉质量取（4±1）kg</w:t>
      </w:r>
    </w:p>
    <w:p>
      <w:pPr>
        <w:numPr>
          <w:ilvl w:val="0"/>
          <w:numId w:val="7"/>
        </w:numPr>
        <w:rPr>
          <w:rFonts w:hint="eastAsia" w:ascii="Times New Roman" w:hAnsi="Times New Roman"/>
          <w:color w:val="0070C0"/>
          <w:lang w:val="en-US" w:eastAsia="zh-CN"/>
        </w:rPr>
      </w:pPr>
      <w:r>
        <w:rPr>
          <w:rFonts w:hint="eastAsia" w:ascii="Times New Roman" w:hAnsi="Times New Roman"/>
          <w:color w:val="0070C0"/>
          <w:lang w:val="en-US" w:eastAsia="zh-CN"/>
        </w:rPr>
        <w:t>实验方法：</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2.1、将导轨按照要求安装在框架侧板上，并装上抽屉。</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2.2、将抽屉完全拉出。</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2.3、将完全拉出的抽屉沿抽屉闭合方向用力推动，当抽屉与柜体间距离约30mm左右时，抽屉的导轨产生阻尼效果，抽屉闭合速度明显减慢，起到防夹手功能。 </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3、 判定方法：</w:t>
      </w:r>
    </w:p>
    <w:p>
      <w:pPr>
        <w:numPr>
          <w:ilvl w:val="0"/>
          <w:numId w:val="0"/>
        </w:numPr>
        <w:rPr>
          <w:rFonts w:hint="default" w:ascii="Times New Roman" w:hAnsi="Times New Roman"/>
          <w:color w:val="0070C0"/>
          <w:lang w:val="en-US" w:eastAsia="zh-CN"/>
        </w:rPr>
      </w:pPr>
      <w:r>
        <w:rPr>
          <w:rFonts w:hint="eastAsia" w:ascii="Times New Roman" w:hAnsi="Times New Roman"/>
          <w:color w:val="0070C0"/>
          <w:lang w:val="en-US" w:eastAsia="zh-CN"/>
        </w:rPr>
        <w:t xml:space="preserve">    当把完全拉出的抽屉用力推动快速关闭时，抽屉与柜体间距离约30mm左右时，抽屉的导轨自动产生阻尼，明显减慢闭合速度，起到防止夹伤手的效果。</w:t>
      </w: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ind w:firstLine="3990" w:firstLineChars="1900"/>
        <w:rPr>
          <w:rFonts w:hint="default" w:ascii="Times New Roman" w:hAnsi="Times New Roman"/>
          <w:color w:val="0070C0"/>
          <w:lang w:val="en-US" w:eastAsia="zh-CN"/>
        </w:rPr>
      </w:pPr>
      <w:r>
        <w:rPr>
          <w:rFonts w:hint="eastAsia" w:ascii="Times New Roman" w:hAnsi="Times New Roman"/>
          <w:color w:val="0070C0"/>
          <w:lang w:val="en-US" w:eastAsia="zh-CN"/>
        </w:rPr>
        <w:t xml:space="preserve"> 附 录 P</w:t>
      </w:r>
    </w:p>
    <w:p>
      <w:pPr>
        <w:rPr>
          <w:rFonts w:hint="eastAsia"/>
          <w:color w:val="0070C0"/>
        </w:rPr>
      </w:pPr>
      <w:r>
        <w:rPr>
          <w:rFonts w:hint="eastAsia" w:ascii="Times New Roman" w:hAnsi="Times New Roman"/>
          <w:color w:val="0070C0"/>
          <w:lang w:val="en-US" w:eastAsia="zh-CN"/>
        </w:rPr>
        <w:t xml:space="preserve">                                      </w:t>
      </w:r>
      <w:r>
        <w:rPr>
          <w:rFonts w:hint="eastAsia"/>
          <w:color w:val="0070C0"/>
        </w:rPr>
        <w:t>（规范性）</w:t>
      </w:r>
    </w:p>
    <w:p>
      <w:pPr>
        <w:rPr>
          <w:rFonts w:hint="eastAsia" w:ascii="Times New Roman" w:hAnsi="Times New Roman"/>
          <w:color w:val="0070C0"/>
          <w:lang w:val="en-US" w:eastAsia="zh-CN"/>
        </w:rPr>
      </w:pPr>
      <w:r>
        <w:rPr>
          <w:rFonts w:hint="eastAsia"/>
          <w:color w:val="0070C0"/>
          <w:lang w:val="en-US" w:eastAsia="zh-CN"/>
        </w:rPr>
        <w:t xml:space="preserve">                             上下/左右调节功能</w:t>
      </w:r>
      <w:r>
        <w:rPr>
          <w:rFonts w:hint="eastAsia" w:ascii="Times New Roman" w:hAnsi="Times New Roman"/>
          <w:color w:val="0070C0"/>
          <w:lang w:val="en-US" w:eastAsia="zh-CN"/>
        </w:rPr>
        <w:t>实验测试</w:t>
      </w:r>
    </w:p>
    <w:p>
      <w:pPr>
        <w:numPr>
          <w:ilvl w:val="0"/>
          <w:numId w:val="0"/>
        </w:numPr>
        <w:rPr>
          <w:rFonts w:hint="eastAsia" w:ascii="Times New Roman" w:hAnsi="Times New Roman"/>
          <w:color w:val="0070C0"/>
          <w:lang w:val="en-US" w:eastAsia="zh-CN"/>
        </w:rPr>
      </w:pP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1、实验条件：</w:t>
      </w:r>
    </w:p>
    <w:p>
      <w:pPr>
        <w:numPr>
          <w:ilvl w:val="0"/>
          <w:numId w:val="0"/>
        </w:numPr>
        <w:ind w:firstLine="420" w:firstLineChars="200"/>
        <w:rPr>
          <w:rFonts w:hint="eastAsia" w:ascii="Times New Roman" w:hAnsi="Times New Roman"/>
          <w:color w:val="0070C0"/>
          <w:lang w:val="en-US" w:eastAsia="zh-CN"/>
        </w:rPr>
      </w:pPr>
      <w:r>
        <w:rPr>
          <w:rFonts w:hint="eastAsia"/>
          <w:color w:val="0070C0"/>
          <w:lang w:val="en-US" w:eastAsia="zh-CN"/>
        </w:rPr>
        <w:t>1.1、</w:t>
      </w:r>
      <w:r>
        <w:rPr>
          <w:rFonts w:hint="eastAsia" w:ascii="Times New Roman" w:hAnsi="Times New Roman"/>
          <w:color w:val="0070C0"/>
          <w:lang w:val="en-US" w:eastAsia="zh-CN"/>
        </w:rPr>
        <w:t>测试框架和抽屉。</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1.2、安装抽屉导轨的两块框架侧板外表面的距离由制造商提供，如制造商没有规定，该距离取值为</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（590±10）mm</w:t>
      </w:r>
    </w:p>
    <w:p>
      <w:pPr>
        <w:numPr>
          <w:ilvl w:val="0"/>
          <w:numId w:val="0"/>
        </w:numPr>
        <w:ind w:firstLine="420" w:firstLineChars="200"/>
        <w:rPr>
          <w:rFonts w:hint="eastAsia" w:ascii="Times New Roman" w:hAnsi="Times New Roman"/>
          <w:color w:val="0070C0"/>
          <w:lang w:val="en-US" w:eastAsia="zh-CN"/>
        </w:rPr>
      </w:pPr>
      <w:r>
        <w:rPr>
          <w:rFonts w:hint="eastAsia" w:ascii="Times New Roman" w:hAnsi="Times New Roman"/>
          <w:color w:val="0070C0"/>
          <w:lang w:val="en-US" w:eastAsia="zh-CN"/>
        </w:rPr>
        <w:t>1.3、测试所用抽屉尺寸和质量由制造商提供，如制造商没有规定，抽屉面板的长度、宽度分别取</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（570±10）mm、（140±10）mm，抽屉质量取（4±1）kg</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2、实验方法：</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2.1、将导轨按照要求安装在框架侧板上，将连接件按照要求安装在抽屉上。</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2.2、将抽屉按安装使用方法与导轨配合，并推入测试框架。抽屉完全闭合到底，连接件与导轨配合锁紧。</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2.3、调整连接件的上下调节螺杆，抽屉实现上下方向移动。</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2.4、调整连接件的左右调节螺杆，抽屉实现左右方向移动。</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3、 判定方法：</w:t>
      </w:r>
    </w:p>
    <w:p>
      <w:pPr>
        <w:numPr>
          <w:ilvl w:val="0"/>
          <w:numId w:val="0"/>
        </w:numPr>
        <w:ind w:firstLine="420" w:firstLineChars="200"/>
        <w:rPr>
          <w:rFonts w:hint="eastAsia" w:ascii="Times New Roman" w:hAnsi="Times New Roman"/>
          <w:color w:val="0070C0"/>
          <w:lang w:val="en-US" w:eastAsia="zh-CN"/>
        </w:rPr>
      </w:pPr>
      <w:r>
        <w:rPr>
          <w:rFonts w:hint="eastAsia" w:ascii="Times New Roman" w:hAnsi="Times New Roman"/>
          <w:color w:val="0070C0"/>
          <w:lang w:val="en-US" w:eastAsia="zh-CN"/>
        </w:rPr>
        <w:t>3.1、调整连接件的上下调节螺杆时，抽屉上下移动范围为2.5mm。</w:t>
      </w:r>
    </w:p>
    <w:p>
      <w:pPr>
        <w:numPr>
          <w:ilvl w:val="0"/>
          <w:numId w:val="0"/>
        </w:numPr>
        <w:ind w:firstLine="420"/>
        <w:rPr>
          <w:rFonts w:hint="eastAsia" w:ascii="Times New Roman" w:hAnsi="Times New Roman"/>
          <w:color w:val="0070C0"/>
          <w:lang w:val="en-US" w:eastAsia="zh-CN"/>
        </w:rPr>
      </w:pPr>
      <w:r>
        <w:rPr>
          <w:rFonts w:hint="eastAsia" w:ascii="Times New Roman" w:hAnsi="Times New Roman"/>
          <w:color w:val="0070C0"/>
          <w:lang w:val="en-US" w:eastAsia="zh-CN"/>
        </w:rPr>
        <w:t>3.2、调整连接件的左右调节螺杆时，抽屉左右移动范围为2.5-3mm。</w:t>
      </w:r>
    </w:p>
    <w:p>
      <w:pPr>
        <w:numPr>
          <w:ilvl w:val="0"/>
          <w:numId w:val="0"/>
        </w:numPr>
        <w:ind w:firstLine="420"/>
        <w:rPr>
          <w:rFonts w:hint="default" w:ascii="Times New Roman" w:hAnsi="Times New Roman"/>
          <w:color w:val="0070C0"/>
          <w:lang w:val="en-US" w:eastAsia="zh-CN"/>
        </w:rPr>
      </w:pPr>
    </w:p>
    <w:p>
      <w:pPr>
        <w:numPr>
          <w:ilvl w:val="0"/>
          <w:numId w:val="0"/>
        </w:numPr>
        <w:ind w:firstLine="420"/>
        <w:rPr>
          <w:rFonts w:hint="default" w:ascii="Times New Roman" w:hAnsi="Times New Roman"/>
          <w:color w:val="0070C0"/>
          <w:lang w:val="en-US" w:eastAsia="zh-CN"/>
        </w:rPr>
      </w:pPr>
    </w:p>
    <w:p>
      <w:pPr>
        <w:rPr>
          <w:rFonts w:hint="eastAsia" w:ascii="Times New Roman" w:hAnsi="Times New Roman"/>
          <w:color w:val="0070C0"/>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p>
    <w:p>
      <w:pPr>
        <w:numPr>
          <w:ilvl w:val="0"/>
          <w:numId w:val="0"/>
        </w:numPr>
        <w:rPr>
          <w:rFonts w:hint="default" w:ascii="Times New Roman" w:hAnsi="Times New Roman"/>
          <w:lang w:val="en-US" w:eastAsia="zh-CN"/>
        </w:rPr>
      </w:pPr>
      <w:bookmarkStart w:id="65" w:name="_GoBack"/>
      <w:bookmarkEnd w:id="65"/>
    </w:p>
    <w:p>
      <w:pPr>
        <w:ind w:firstLine="3990" w:firstLineChars="1900"/>
        <w:rPr>
          <w:rFonts w:hint="default" w:ascii="Times New Roman" w:hAnsi="Times New Roman"/>
          <w:color w:val="0070C0"/>
          <w:lang w:val="en-US" w:eastAsia="zh-CN"/>
        </w:rPr>
      </w:pPr>
      <w:r>
        <w:rPr>
          <w:rFonts w:hint="eastAsia" w:ascii="Times New Roman" w:hAnsi="Times New Roman"/>
          <w:color w:val="0070C0"/>
          <w:lang w:val="en-US" w:eastAsia="zh-CN"/>
        </w:rPr>
        <w:t xml:space="preserve"> 附 录 Q</w:t>
      </w:r>
    </w:p>
    <w:p>
      <w:pPr>
        <w:rPr>
          <w:rFonts w:hint="eastAsia"/>
          <w:color w:val="0070C0"/>
        </w:rPr>
      </w:pPr>
      <w:r>
        <w:rPr>
          <w:rFonts w:hint="eastAsia" w:ascii="Times New Roman" w:hAnsi="Times New Roman"/>
          <w:color w:val="0070C0"/>
          <w:lang w:val="en-US" w:eastAsia="zh-CN"/>
        </w:rPr>
        <w:t xml:space="preserve">                                      </w:t>
      </w:r>
      <w:r>
        <w:rPr>
          <w:rFonts w:hint="eastAsia"/>
          <w:color w:val="0070C0"/>
        </w:rPr>
        <w:t>（规范性）</w:t>
      </w:r>
    </w:p>
    <w:p>
      <w:pPr>
        <w:rPr>
          <w:rFonts w:hint="eastAsia" w:ascii="Times New Roman" w:hAnsi="Times New Roman"/>
          <w:color w:val="0070C0"/>
          <w:lang w:val="en-US" w:eastAsia="zh-CN"/>
        </w:rPr>
      </w:pPr>
      <w:r>
        <w:rPr>
          <w:rFonts w:hint="eastAsia"/>
          <w:color w:val="0070C0"/>
          <w:lang w:val="en-US" w:eastAsia="zh-CN"/>
        </w:rPr>
        <w:t xml:space="preserve">                              抽屉快速拆装功能</w:t>
      </w:r>
      <w:r>
        <w:rPr>
          <w:rFonts w:hint="eastAsia" w:ascii="Times New Roman" w:hAnsi="Times New Roman"/>
          <w:color w:val="0070C0"/>
          <w:lang w:val="en-US" w:eastAsia="zh-CN"/>
        </w:rPr>
        <w:t>实验测试</w:t>
      </w:r>
    </w:p>
    <w:p>
      <w:pPr>
        <w:rPr>
          <w:rFonts w:hint="eastAsia" w:ascii="Times New Roman" w:hAnsi="Times New Roman"/>
          <w:color w:val="0070C0"/>
          <w:lang w:val="en-US" w:eastAsia="zh-CN"/>
        </w:rPr>
      </w:pP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1、实验条件：</w:t>
      </w:r>
    </w:p>
    <w:p>
      <w:pPr>
        <w:numPr>
          <w:ilvl w:val="0"/>
          <w:numId w:val="0"/>
        </w:numPr>
        <w:ind w:firstLine="420" w:firstLineChars="200"/>
        <w:rPr>
          <w:rFonts w:hint="eastAsia" w:ascii="Times New Roman" w:hAnsi="Times New Roman"/>
          <w:color w:val="0070C0"/>
          <w:lang w:val="en-US" w:eastAsia="zh-CN"/>
        </w:rPr>
      </w:pPr>
      <w:r>
        <w:rPr>
          <w:rFonts w:hint="eastAsia"/>
          <w:color w:val="0070C0"/>
          <w:lang w:val="en-US" w:eastAsia="zh-CN"/>
        </w:rPr>
        <w:t>1.1、</w:t>
      </w:r>
      <w:r>
        <w:rPr>
          <w:rFonts w:hint="eastAsia" w:ascii="Times New Roman" w:hAnsi="Times New Roman"/>
          <w:color w:val="0070C0"/>
          <w:lang w:val="en-US" w:eastAsia="zh-CN"/>
        </w:rPr>
        <w:t>测试框架和抽屉。</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1.2、安装抽屉导轨的两块框架侧板外表面的距离由制造商提供，如制造商没有规定，该距离取值为</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（590±10）mm。</w:t>
      </w:r>
    </w:p>
    <w:p>
      <w:pPr>
        <w:numPr>
          <w:ilvl w:val="0"/>
          <w:numId w:val="0"/>
        </w:numPr>
        <w:ind w:firstLine="420" w:firstLineChars="200"/>
        <w:rPr>
          <w:rFonts w:hint="eastAsia" w:ascii="Times New Roman" w:hAnsi="Times New Roman"/>
          <w:color w:val="0070C0"/>
          <w:lang w:val="en-US" w:eastAsia="zh-CN"/>
        </w:rPr>
      </w:pPr>
      <w:r>
        <w:rPr>
          <w:rFonts w:hint="eastAsia" w:ascii="Times New Roman" w:hAnsi="Times New Roman"/>
          <w:color w:val="0070C0"/>
          <w:lang w:val="en-US" w:eastAsia="zh-CN"/>
        </w:rPr>
        <w:t>1.3、测试所用抽屉尺寸和质量由制造商提供，如制造商没有规定，抽屉面板的长度、宽度分别取</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（570±10）mm、（140±10）mm，抽屉质量取（4±1）kg。</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2、实验方法：</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2.1、将导轨按照要求安装在框架侧板上，将连接件按照要求安装在抽屉上。</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2.2、将抽屉按安装使用方法与导轨配合，并推入测试框架。连接件与导轨配合锁紧抽屉闭合到底。实现抽屉与导轨快速安装。</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 xml:space="preserve">   2.3、完全拉出抽屉，用手按压左右连接件的锁紧按钮，实现抽屉与导轨分离。</w:t>
      </w:r>
    </w:p>
    <w:p>
      <w:pPr>
        <w:numPr>
          <w:ilvl w:val="0"/>
          <w:numId w:val="0"/>
        </w:numPr>
        <w:rPr>
          <w:rFonts w:hint="eastAsia" w:ascii="Times New Roman" w:hAnsi="Times New Roman"/>
          <w:color w:val="0070C0"/>
          <w:lang w:val="en-US" w:eastAsia="zh-CN"/>
        </w:rPr>
      </w:pPr>
      <w:r>
        <w:rPr>
          <w:rFonts w:hint="eastAsia" w:ascii="Times New Roman" w:hAnsi="Times New Roman"/>
          <w:color w:val="0070C0"/>
          <w:lang w:val="en-US" w:eastAsia="zh-CN"/>
        </w:rPr>
        <w:t>3、判定方法：</w:t>
      </w:r>
    </w:p>
    <w:p>
      <w:pPr>
        <w:numPr>
          <w:ilvl w:val="0"/>
          <w:numId w:val="0"/>
        </w:numPr>
        <w:rPr>
          <w:rFonts w:hint="default" w:ascii="Times New Roman" w:hAnsi="Times New Roman"/>
          <w:color w:val="0070C0"/>
          <w:lang w:val="en-US" w:eastAsia="zh-CN"/>
        </w:rPr>
      </w:pPr>
      <w:r>
        <w:rPr>
          <w:rFonts w:hint="eastAsia" w:ascii="Times New Roman" w:hAnsi="Times New Roman"/>
          <w:color w:val="0070C0"/>
          <w:lang w:val="en-US" w:eastAsia="zh-CN"/>
        </w:rPr>
        <w:t xml:space="preserve">   3.1、安装时，抽屉推入测试框架后，抽屉能闭合到底，抽屉面板贴平测试框架，连接件锁紧按钮与导轨配合锁紧。实现快速安装。</w:t>
      </w:r>
    </w:p>
    <w:p>
      <w:pPr>
        <w:numPr>
          <w:ilvl w:val="0"/>
          <w:numId w:val="0"/>
        </w:numPr>
        <w:rPr>
          <w:rFonts w:hint="default" w:ascii="Times New Roman" w:hAnsi="Times New Roman"/>
          <w:color w:val="0070C0"/>
          <w:lang w:val="en-US" w:eastAsia="zh-CN"/>
        </w:rPr>
      </w:pPr>
      <w:r>
        <w:rPr>
          <w:rFonts w:hint="eastAsia" w:ascii="Times New Roman" w:hAnsi="Times New Roman"/>
          <w:color w:val="0070C0"/>
          <w:lang w:val="en-US" w:eastAsia="zh-CN"/>
        </w:rPr>
        <w:t xml:space="preserve">   3.2、拆卸时，拉出抽屉用手按压左右连接件的锁紧按钮，使连接件锁紧按钮与导轨松开并抬起抽屉，抽屉与导轨分离。实现抽屉快速拆卸。</w:t>
      </w:r>
    </w:p>
    <w:p>
      <w:pPr>
        <w:numPr>
          <w:ilvl w:val="0"/>
          <w:numId w:val="0"/>
        </w:numPr>
        <w:rPr>
          <w:rFonts w:hint="default" w:ascii="Times New Roman" w:hAnsi="Times New Roman"/>
          <w:color w:val="0070C0"/>
          <w:lang w:val="en-US" w:eastAsia="zh-CN"/>
        </w:rPr>
      </w:pPr>
    </w:p>
    <w:p>
      <w:pPr>
        <w:numPr>
          <w:ilvl w:val="0"/>
          <w:numId w:val="0"/>
        </w:numPr>
        <w:rPr>
          <w:rFonts w:hint="default" w:ascii="Times New Roman" w:hAnsi="Times New Roman"/>
          <w:lang w:val="en-US" w:eastAsia="zh-CN"/>
        </w:rPr>
      </w:pPr>
    </w:p>
    <w:sectPr>
      <w:footerReference r:id="rId6" w:type="default"/>
      <w:pgSz w:w="11906" w:h="16838"/>
      <w:pgMar w:top="1134" w:right="1134" w:bottom="1134" w:left="1134" w:header="907" w:footer="850" w:gutter="0"/>
      <w:pgNumType w:start="1"/>
      <w:cols w:space="720" w:num="1"/>
      <w:formProt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080E0000" w:usb2="00000000"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altName w:val="Century Gothic"/>
    <w:panose1 w:val="020F0502020204030204"/>
    <w:charset w:val="00"/>
    <w:family w:val="swiss"/>
    <w:pitch w:val="default"/>
    <w:sig w:usb0="00000000" w:usb1="00000000" w:usb2="00000001" w:usb3="00000000" w:csb0="0000019F" w:csb1="00000000"/>
  </w:font>
  <w:font w:name="Cambria">
    <w:altName w:val="Shruti"/>
    <w:panose1 w:val="02040503050406030204"/>
    <w:charset w:val="00"/>
    <w:family w:val="roman"/>
    <w:pitch w:val="default"/>
    <w:sig w:usb0="00000000" w:usb1="00000000" w:usb2="00000000" w:usb3="00000000" w:csb0="2000019F" w:csb1="00000000"/>
  </w:font>
  <w:font w:name="微软雅黑">
    <w:altName w:val="黑体"/>
    <w:panose1 w:val="020B0503020204020204"/>
    <w:charset w:val="86"/>
    <w:family w:val="swiss"/>
    <w:pitch w:val="default"/>
    <w:sig w:usb0="00000000" w:usb1="00000000" w:usb2="00000016" w:usb3="00000000" w:csb0="0004001F" w:csb1="00000000"/>
  </w:font>
  <w:font w:name="新宋体">
    <w:panose1 w:val="02010609030101010101"/>
    <w:charset w:val="86"/>
    <w:family w:val="auto"/>
    <w:pitch w:val="default"/>
    <w:sig w:usb0="00000003" w:usb1="080E0000" w:usb2="00000000" w:usb3="00000000" w:csb0="00040001" w:csb1="00000000"/>
  </w:font>
  <w:font w:name="Century Gothic">
    <w:panose1 w:val="020B0502020202020204"/>
    <w:charset w:val="00"/>
    <w:family w:val="auto"/>
    <w:pitch w:val="default"/>
    <w:sig w:usb0="00000287" w:usb1="00000000" w:usb2="00000000" w:usb3="00000000" w:csb0="2000009F" w:csb1="DFD70000"/>
  </w:font>
  <w:font w:name="Shruti">
    <w:panose1 w:val="02000500000000000000"/>
    <w:charset w:val="00"/>
    <w:family w:val="auto"/>
    <w:pitch w:val="default"/>
    <w:sig w:usb0="0004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pPr>
                          <w:r>
                            <w:fldChar w:fldCharType="begin"/>
                          </w:r>
                          <w:r>
                            <w:instrText xml:space="preserve"> PAGE  \* MERGEFORMAT </w:instrText>
                          </w:r>
                          <w:r>
                            <w:fldChar w:fldCharType="separate"/>
                          </w:r>
                          <w:r>
                            <w:t>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HP4ZNkPAgAABwQAAA4AAAAAAAAAAQAgAAAA&#10;HwEAAGRycy9lMm9Eb2MueG1sUEsFBgAAAAAGAAYAWQEAAKAFAAAAAA==&#10;">
              <v:fill on="f" focussize="0,0"/>
              <v:stroke on="f" weight="0.5pt"/>
              <v:imagedata o:title=""/>
              <o:lock v:ext="edit" aspectratio="f"/>
              <v:textbox inset="0mm,0mm,0mm,0mm" style="mso-fit-shape-to-text:t;">
                <w:txbxContent>
                  <w:p>
                    <w:pPr>
                      <w:pStyle w:val="14"/>
                    </w:pPr>
                    <w:r>
                      <w:fldChar w:fldCharType="begin"/>
                    </w:r>
                    <w:r>
                      <w:instrText xml:space="preserve"> PAGE  \* MERGEFORMAT </w:instrText>
                    </w:r>
                    <w:r>
                      <w:fldChar w:fldCharType="separate"/>
                    </w:r>
                    <w:r>
                      <w:t>I</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pPr>
                          <w:r>
                            <w:fldChar w:fldCharType="begin"/>
                          </w:r>
                          <w:r>
                            <w:instrText xml:space="preserve"> PAGE  \* MERGEFORMAT </w:instrText>
                          </w:r>
                          <w:r>
                            <w:fldChar w:fldCharType="separate"/>
                          </w:r>
                          <w:r>
                            <w:t>III</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s0lY7tAAAAAFAQAADwAAAAAAAAABACAAAAAiAAAA&#10;ZHJzL2Rvd25yZXYueG1sUEsBAhQAFAAAAAgAh07iQNn6MNYPAgAABwQAAA4AAAAAAAAAAQAgAAAA&#10;HwEAAGRycy9lMm9Eb2MueG1sUEsFBgAAAAAGAAYAWQEAAKAFAAAAAA==&#10;">
              <v:fill on="f" focussize="0,0"/>
              <v:stroke on="f" weight="0.5pt"/>
              <v:imagedata o:title=""/>
              <o:lock v:ext="edit" aspectratio="f"/>
              <v:textbox inset="0mm,0mm,0mm,0mm" style="mso-fit-shape-to-text:t;">
                <w:txbxContent>
                  <w:p>
                    <w:pPr>
                      <w:pStyle w:val="14"/>
                    </w:pPr>
                    <w:r>
                      <w:fldChar w:fldCharType="begin"/>
                    </w:r>
                    <w:r>
                      <w:instrText xml:space="preserve"> PAGE  \* MERGEFORMAT </w:instrText>
                    </w:r>
                    <w:r>
                      <w:fldChar w:fldCharType="separate"/>
                    </w:r>
                    <w:r>
                      <w:t>III</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wordWrap w:val="0"/>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jc w:val="right"/>
      <w:rPr>
        <w:rFonts w:ascii="Times New Roman" w:hAnsi="Times New Roman" w:cs="Times New Roman"/>
      </w:rPr>
    </w:pPr>
    <w:r>
      <w:rPr>
        <w:rFonts w:ascii="Times New Roman" w:hAnsi="Times New Roman" w:cs="Times New Roman"/>
      </w:rPr>
      <w:t>T/CNHA XXXX—XXXX</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ED44ED9"/>
    <w:multiLevelType w:val="singleLevel"/>
    <w:tmpl w:val="EED44ED9"/>
    <w:lvl w:ilvl="0" w:tentative="0">
      <w:start w:val="11"/>
      <w:numFmt w:val="upperLetter"/>
      <w:suff w:val="nothing"/>
      <w:lvlText w:val="%1-"/>
      <w:lvlJc w:val="left"/>
      <w:pPr>
        <w:ind w:left="1890" w:leftChars="0" w:firstLine="0" w:firstLineChars="0"/>
      </w:pPr>
    </w:lvl>
  </w:abstractNum>
  <w:abstractNum w:abstractNumId="1">
    <w:nsid w:val="0000000F"/>
    <w:multiLevelType w:val="multilevel"/>
    <w:tmpl w:val="0000000F"/>
    <w:lvl w:ilvl="0" w:tentative="0">
      <w:start w:val="1"/>
      <w:numFmt w:val="none"/>
      <w:suff w:val="nothing"/>
      <w:lvlText w:val="%1"/>
      <w:lvlJc w:val="left"/>
      <w:pPr>
        <w:ind w:left="0" w:firstLine="0"/>
      </w:pPr>
      <w:rPr>
        <w:rFonts w:hint="default" w:ascii="Times New Roman" w:hAnsi="Times New Roman"/>
        <w:b/>
        <w:i w:val="0"/>
        <w:sz w:val="21"/>
      </w:rPr>
    </w:lvl>
    <w:lvl w:ilvl="1" w:tentative="0">
      <w:start w:val="1"/>
      <w:numFmt w:val="decimal"/>
      <w:suff w:val="nothing"/>
      <w:lvlText w:val="%1%2　"/>
      <w:lvlJc w:val="left"/>
      <w:pPr>
        <w:ind w:left="0" w:firstLine="0"/>
      </w:pPr>
      <w:rPr>
        <w:rFonts w:hint="default" w:ascii="Arial" w:hAnsi="Arial" w:eastAsia="黑体" w:cs="Arial"/>
        <w:b w:val="0"/>
        <w:bCs w:val="0"/>
        <w:i w:val="0"/>
        <w:iCs w:val="0"/>
        <w:caps w:val="0"/>
        <w:smallCaps w:val="0"/>
        <w:snapToGrid w:val="0"/>
        <w:vanish w:val="0"/>
        <w:color w:val="000000"/>
        <w:spacing w:val="0"/>
        <w:w w:val="0"/>
        <w:kern w:val="0"/>
        <w:position w:val="0"/>
        <w:sz w:val="21"/>
        <w:szCs w:val="0"/>
        <w:u w:val="none"/>
        <w:vertAlign w:val="baseline"/>
      </w:rPr>
    </w:lvl>
    <w:lvl w:ilvl="2" w:tentative="0">
      <w:start w:val="1"/>
      <w:numFmt w:val="decimal"/>
      <w:pStyle w:val="82"/>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
    <w:nsid w:val="0FA06308"/>
    <w:multiLevelType w:val="singleLevel"/>
    <w:tmpl w:val="0FA06308"/>
    <w:lvl w:ilvl="0" w:tentative="0">
      <w:start w:val="2"/>
      <w:numFmt w:val="decimal"/>
      <w:suff w:val="nothing"/>
      <w:lvlText w:val="%1、"/>
      <w:lvlJc w:val="left"/>
    </w:lvl>
  </w:abstractNum>
  <w:abstractNum w:abstractNumId="3">
    <w:nsid w:val="1FC91163"/>
    <w:multiLevelType w:val="multilevel"/>
    <w:tmpl w:val="1FC91163"/>
    <w:lvl w:ilvl="0" w:tentative="0">
      <w:start w:val="1"/>
      <w:numFmt w:val="decimal"/>
      <w:pStyle w:val="41"/>
      <w:suff w:val="nothing"/>
      <w:lvlText w:val="%1　"/>
      <w:lvlJc w:val="left"/>
      <w:pPr>
        <w:ind w:left="3544" w:firstLine="0"/>
      </w:pPr>
      <w:rPr>
        <w:rFonts w:hint="eastAsia" w:ascii="黑体" w:hAnsi="Times New Roman" w:eastAsia="黑体"/>
        <w:b w:val="0"/>
        <w:i w:val="0"/>
        <w:sz w:val="21"/>
        <w:szCs w:val="21"/>
      </w:rPr>
    </w:lvl>
    <w:lvl w:ilvl="1" w:tentative="0">
      <w:start w:val="1"/>
      <w:numFmt w:val="decimal"/>
      <w:pStyle w:val="37"/>
      <w:suff w:val="nothing"/>
      <w:lvlText w:val="%1.%2　"/>
      <w:lvlJc w:val="left"/>
      <w:pPr>
        <w:ind w:left="0" w:firstLine="0"/>
      </w:pPr>
      <w:rPr>
        <w:rFonts w:hint="eastAsia" w:ascii="黑体" w:hAnsi="Times New Roman" w:eastAsia="黑体" w:cs="Times New Roman"/>
        <w:b w:val="0"/>
        <w:bCs w:val="0"/>
        <w:i w:val="0"/>
        <w:iCs w:val="0"/>
        <w:caps w:val="0"/>
        <w:strike w:val="0"/>
        <w:dstrike w:val="0"/>
        <w:vanish w:val="0"/>
        <w:color w:val="000000"/>
        <w:spacing w:val="0"/>
        <w:kern w:val="0"/>
        <w:position w:val="0"/>
        <w:sz w:val="21"/>
        <w:szCs w:val="21"/>
        <w:u w:val="none"/>
        <w:vertAlign w:val="baseline"/>
      </w:rPr>
    </w:lvl>
    <w:lvl w:ilvl="2" w:tentative="0">
      <w:start w:val="1"/>
      <w:numFmt w:val="decimal"/>
      <w:pStyle w:val="36"/>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469827F7"/>
    <w:multiLevelType w:val="singleLevel"/>
    <w:tmpl w:val="469827F7"/>
    <w:lvl w:ilvl="0" w:tentative="0">
      <w:start w:val="1"/>
      <w:numFmt w:val="upperRoman"/>
      <w:suff w:val="nothing"/>
      <w:lvlText w:val="%1-"/>
      <w:lvlJc w:val="left"/>
      <w:pPr>
        <w:ind w:left="315" w:leftChars="0" w:firstLine="0" w:firstLineChars="0"/>
      </w:pPr>
    </w:lvl>
  </w:abstractNum>
  <w:abstractNum w:abstractNumId="5">
    <w:nsid w:val="5EA0AF58"/>
    <w:multiLevelType w:val="singleLevel"/>
    <w:tmpl w:val="5EA0AF58"/>
    <w:lvl w:ilvl="0" w:tentative="0">
      <w:start w:val="1"/>
      <w:numFmt w:val="upperLetter"/>
      <w:lvlText w:val="%1."/>
      <w:lvlJc w:val="left"/>
      <w:pPr>
        <w:tabs>
          <w:tab w:val="left" w:pos="312"/>
        </w:tabs>
      </w:pPr>
    </w:lvl>
  </w:abstractNum>
  <w:abstractNum w:abstractNumId="6">
    <w:nsid w:val="68A2D500"/>
    <w:multiLevelType w:val="singleLevel"/>
    <w:tmpl w:val="68A2D500"/>
    <w:lvl w:ilvl="0" w:tentative="0">
      <w:start w:val="1"/>
      <w:numFmt w:val="lowerLetter"/>
      <w:suff w:val="space"/>
      <w:lvlText w:val="%1)"/>
      <w:lvlJc w:val="left"/>
    </w:lvl>
  </w:abstractNum>
  <w:num w:numId="1">
    <w:abstractNumId w:val="3"/>
  </w:num>
  <w:num w:numId="2">
    <w:abstractNumId w:val="1"/>
  </w:num>
  <w:num w:numId="3">
    <w:abstractNumId w:val="6"/>
  </w:num>
  <w:num w:numId="4">
    <w:abstractNumId w:val="5"/>
  </w:num>
  <w:num w:numId="5">
    <w:abstractNumId w:val="0"/>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val="1"/>
  <w:bordersDoNotSurroundHeader w:val="1"/>
  <w:bordersDoNotSurroundFooter w:val="1"/>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mIyOWY4NzlhM2UyNmY1ODEzYWNmYzM0ZmE1NjZjYjAifQ=="/>
  </w:docVars>
  <w:rsids>
    <w:rsidRoot w:val="008803BF"/>
    <w:rsid w:val="000300A6"/>
    <w:rsid w:val="000D746D"/>
    <w:rsid w:val="0010549C"/>
    <w:rsid w:val="00113B38"/>
    <w:rsid w:val="001B46DE"/>
    <w:rsid w:val="001F17FA"/>
    <w:rsid w:val="00243744"/>
    <w:rsid w:val="00291BD6"/>
    <w:rsid w:val="00294203"/>
    <w:rsid w:val="002A43B9"/>
    <w:rsid w:val="002A78CA"/>
    <w:rsid w:val="0036091F"/>
    <w:rsid w:val="00383BFC"/>
    <w:rsid w:val="003C45F7"/>
    <w:rsid w:val="00432B0E"/>
    <w:rsid w:val="00456864"/>
    <w:rsid w:val="004A57AB"/>
    <w:rsid w:val="004C70C8"/>
    <w:rsid w:val="004D5A24"/>
    <w:rsid w:val="00510E7A"/>
    <w:rsid w:val="00540B6C"/>
    <w:rsid w:val="00575322"/>
    <w:rsid w:val="005E5918"/>
    <w:rsid w:val="00674783"/>
    <w:rsid w:val="00743E65"/>
    <w:rsid w:val="00760265"/>
    <w:rsid w:val="00764771"/>
    <w:rsid w:val="007A1F60"/>
    <w:rsid w:val="007E26A9"/>
    <w:rsid w:val="008803BF"/>
    <w:rsid w:val="00971B06"/>
    <w:rsid w:val="00987042"/>
    <w:rsid w:val="00A137E4"/>
    <w:rsid w:val="00B51C1B"/>
    <w:rsid w:val="00B65B9E"/>
    <w:rsid w:val="00BC2766"/>
    <w:rsid w:val="00C60F55"/>
    <w:rsid w:val="00C76E3F"/>
    <w:rsid w:val="00D71493"/>
    <w:rsid w:val="00D87475"/>
    <w:rsid w:val="00D9637F"/>
    <w:rsid w:val="00DF4B55"/>
    <w:rsid w:val="00E5036C"/>
    <w:rsid w:val="00E52B5B"/>
    <w:rsid w:val="00EF150F"/>
    <w:rsid w:val="00F27725"/>
    <w:rsid w:val="00F70A05"/>
    <w:rsid w:val="00FB7C61"/>
    <w:rsid w:val="00FF5F7D"/>
    <w:rsid w:val="01326271"/>
    <w:rsid w:val="013A3C42"/>
    <w:rsid w:val="013D1161"/>
    <w:rsid w:val="0157144D"/>
    <w:rsid w:val="017A10E5"/>
    <w:rsid w:val="017F0419"/>
    <w:rsid w:val="018D1A7F"/>
    <w:rsid w:val="01A22C15"/>
    <w:rsid w:val="01A40D00"/>
    <w:rsid w:val="02985DC6"/>
    <w:rsid w:val="02F73C1B"/>
    <w:rsid w:val="033E3BD6"/>
    <w:rsid w:val="03891764"/>
    <w:rsid w:val="03D351A4"/>
    <w:rsid w:val="04231082"/>
    <w:rsid w:val="0430275A"/>
    <w:rsid w:val="04396DED"/>
    <w:rsid w:val="046B2C79"/>
    <w:rsid w:val="047309B6"/>
    <w:rsid w:val="04BC5D9C"/>
    <w:rsid w:val="04D94BBC"/>
    <w:rsid w:val="04E6299F"/>
    <w:rsid w:val="052E6005"/>
    <w:rsid w:val="0532620C"/>
    <w:rsid w:val="054162A1"/>
    <w:rsid w:val="056C1E37"/>
    <w:rsid w:val="060A00C1"/>
    <w:rsid w:val="06150A46"/>
    <w:rsid w:val="06603FA5"/>
    <w:rsid w:val="06B223B0"/>
    <w:rsid w:val="06C31FE9"/>
    <w:rsid w:val="0715674C"/>
    <w:rsid w:val="08314631"/>
    <w:rsid w:val="08430582"/>
    <w:rsid w:val="08652BE4"/>
    <w:rsid w:val="089B54FA"/>
    <w:rsid w:val="08CB026F"/>
    <w:rsid w:val="08FF41FE"/>
    <w:rsid w:val="09374DB2"/>
    <w:rsid w:val="09456A9D"/>
    <w:rsid w:val="099771D4"/>
    <w:rsid w:val="09B034BB"/>
    <w:rsid w:val="0A0E0485"/>
    <w:rsid w:val="0A670478"/>
    <w:rsid w:val="0A6F0C4B"/>
    <w:rsid w:val="0A9C218A"/>
    <w:rsid w:val="0B267B31"/>
    <w:rsid w:val="0B914450"/>
    <w:rsid w:val="0BBA4FFF"/>
    <w:rsid w:val="0BC773BD"/>
    <w:rsid w:val="0C0C5CC9"/>
    <w:rsid w:val="0C4548C9"/>
    <w:rsid w:val="0C8A079E"/>
    <w:rsid w:val="0C8D346B"/>
    <w:rsid w:val="0CEC743A"/>
    <w:rsid w:val="0D251E26"/>
    <w:rsid w:val="0D2563C4"/>
    <w:rsid w:val="0D970F8B"/>
    <w:rsid w:val="0DC91474"/>
    <w:rsid w:val="0DFC3F18"/>
    <w:rsid w:val="0E0662D9"/>
    <w:rsid w:val="0E364E7D"/>
    <w:rsid w:val="0E7E0566"/>
    <w:rsid w:val="0EB73455"/>
    <w:rsid w:val="0EF279EF"/>
    <w:rsid w:val="0F010961"/>
    <w:rsid w:val="0F4C0664"/>
    <w:rsid w:val="0F5C0C86"/>
    <w:rsid w:val="0F7F3E70"/>
    <w:rsid w:val="0F900551"/>
    <w:rsid w:val="0F9A13CF"/>
    <w:rsid w:val="0F9B1A19"/>
    <w:rsid w:val="0FA062BA"/>
    <w:rsid w:val="101C784D"/>
    <w:rsid w:val="1067204C"/>
    <w:rsid w:val="112E3AE6"/>
    <w:rsid w:val="116D17AA"/>
    <w:rsid w:val="11946955"/>
    <w:rsid w:val="11993255"/>
    <w:rsid w:val="11AF4661"/>
    <w:rsid w:val="11C3029D"/>
    <w:rsid w:val="12014359"/>
    <w:rsid w:val="12132744"/>
    <w:rsid w:val="123950D3"/>
    <w:rsid w:val="124A7371"/>
    <w:rsid w:val="13386D6B"/>
    <w:rsid w:val="135209F1"/>
    <w:rsid w:val="138942AF"/>
    <w:rsid w:val="13904FC3"/>
    <w:rsid w:val="13C52E49"/>
    <w:rsid w:val="13D70D51"/>
    <w:rsid w:val="13F031E1"/>
    <w:rsid w:val="14025795"/>
    <w:rsid w:val="140908D1"/>
    <w:rsid w:val="143E2655"/>
    <w:rsid w:val="14553B17"/>
    <w:rsid w:val="14574345"/>
    <w:rsid w:val="14741101"/>
    <w:rsid w:val="14991245"/>
    <w:rsid w:val="14C81A79"/>
    <w:rsid w:val="15616904"/>
    <w:rsid w:val="158F3762"/>
    <w:rsid w:val="15B34F99"/>
    <w:rsid w:val="15BC41AA"/>
    <w:rsid w:val="15D40117"/>
    <w:rsid w:val="16587E69"/>
    <w:rsid w:val="16B77FD1"/>
    <w:rsid w:val="17402A1E"/>
    <w:rsid w:val="174F2A9F"/>
    <w:rsid w:val="17D17958"/>
    <w:rsid w:val="17DA13A7"/>
    <w:rsid w:val="180E4A95"/>
    <w:rsid w:val="1822521D"/>
    <w:rsid w:val="185D743E"/>
    <w:rsid w:val="18DD79A1"/>
    <w:rsid w:val="18ED7391"/>
    <w:rsid w:val="18FE652B"/>
    <w:rsid w:val="190441C0"/>
    <w:rsid w:val="194D55A9"/>
    <w:rsid w:val="19C76021"/>
    <w:rsid w:val="1A706920"/>
    <w:rsid w:val="1A7123F6"/>
    <w:rsid w:val="1A887C80"/>
    <w:rsid w:val="1ABA1D83"/>
    <w:rsid w:val="1AE80243"/>
    <w:rsid w:val="1B240FCE"/>
    <w:rsid w:val="1B777669"/>
    <w:rsid w:val="1B886580"/>
    <w:rsid w:val="1B910DB4"/>
    <w:rsid w:val="1BAA2DAE"/>
    <w:rsid w:val="1BD52424"/>
    <w:rsid w:val="1C116575"/>
    <w:rsid w:val="1C13738E"/>
    <w:rsid w:val="1C2D7829"/>
    <w:rsid w:val="1C5C03A3"/>
    <w:rsid w:val="1CE076CE"/>
    <w:rsid w:val="1CE31C2F"/>
    <w:rsid w:val="1D1B2CB8"/>
    <w:rsid w:val="1D2D2F8B"/>
    <w:rsid w:val="1DCF0496"/>
    <w:rsid w:val="1DD54CF5"/>
    <w:rsid w:val="1E704E6F"/>
    <w:rsid w:val="1EB3043C"/>
    <w:rsid w:val="1ED17431"/>
    <w:rsid w:val="1F365B58"/>
    <w:rsid w:val="1F9C4CF0"/>
    <w:rsid w:val="1FB05E2C"/>
    <w:rsid w:val="1FBB41D0"/>
    <w:rsid w:val="20286583"/>
    <w:rsid w:val="205828FC"/>
    <w:rsid w:val="206554D2"/>
    <w:rsid w:val="20BF5065"/>
    <w:rsid w:val="21076199"/>
    <w:rsid w:val="2118156D"/>
    <w:rsid w:val="212E7BC9"/>
    <w:rsid w:val="216364D8"/>
    <w:rsid w:val="21E56D87"/>
    <w:rsid w:val="21E6650E"/>
    <w:rsid w:val="21FF498E"/>
    <w:rsid w:val="22147232"/>
    <w:rsid w:val="22927EB5"/>
    <w:rsid w:val="22CD3423"/>
    <w:rsid w:val="235F050E"/>
    <w:rsid w:val="239038EC"/>
    <w:rsid w:val="23962050"/>
    <w:rsid w:val="23C245F9"/>
    <w:rsid w:val="24170DE9"/>
    <w:rsid w:val="244233E4"/>
    <w:rsid w:val="250F1AC0"/>
    <w:rsid w:val="25683F63"/>
    <w:rsid w:val="25770F38"/>
    <w:rsid w:val="26C2353F"/>
    <w:rsid w:val="26F725F1"/>
    <w:rsid w:val="27111B1F"/>
    <w:rsid w:val="275613EA"/>
    <w:rsid w:val="27651E6B"/>
    <w:rsid w:val="27A62658"/>
    <w:rsid w:val="27A75FE0"/>
    <w:rsid w:val="27BD0BF7"/>
    <w:rsid w:val="27DA27C2"/>
    <w:rsid w:val="28011B94"/>
    <w:rsid w:val="28212236"/>
    <w:rsid w:val="2829057B"/>
    <w:rsid w:val="28404E9B"/>
    <w:rsid w:val="286F11F3"/>
    <w:rsid w:val="2888032F"/>
    <w:rsid w:val="28E717BF"/>
    <w:rsid w:val="29104EC2"/>
    <w:rsid w:val="29347ACD"/>
    <w:rsid w:val="298A4D77"/>
    <w:rsid w:val="29EA7DDC"/>
    <w:rsid w:val="2A093583"/>
    <w:rsid w:val="2A135BAE"/>
    <w:rsid w:val="2A4B17EC"/>
    <w:rsid w:val="2A621607"/>
    <w:rsid w:val="2AA607D0"/>
    <w:rsid w:val="2AD27734"/>
    <w:rsid w:val="2ADC41F2"/>
    <w:rsid w:val="2B003D2F"/>
    <w:rsid w:val="2B046BB5"/>
    <w:rsid w:val="2B114F01"/>
    <w:rsid w:val="2B1B665A"/>
    <w:rsid w:val="2B446A60"/>
    <w:rsid w:val="2B591CE7"/>
    <w:rsid w:val="2BE710A1"/>
    <w:rsid w:val="2BFD08C4"/>
    <w:rsid w:val="2C516C94"/>
    <w:rsid w:val="2C5219A4"/>
    <w:rsid w:val="2C6E21E4"/>
    <w:rsid w:val="2C932FD6"/>
    <w:rsid w:val="2CD7257D"/>
    <w:rsid w:val="2CF972DD"/>
    <w:rsid w:val="2D0F6DD8"/>
    <w:rsid w:val="2D227578"/>
    <w:rsid w:val="2D2770B2"/>
    <w:rsid w:val="2D502C75"/>
    <w:rsid w:val="2DCF003E"/>
    <w:rsid w:val="2E450564"/>
    <w:rsid w:val="2E494294"/>
    <w:rsid w:val="2EFF2BA5"/>
    <w:rsid w:val="2F0270F7"/>
    <w:rsid w:val="2F5A6F13"/>
    <w:rsid w:val="2F61666C"/>
    <w:rsid w:val="300C401F"/>
    <w:rsid w:val="3023320B"/>
    <w:rsid w:val="30734518"/>
    <w:rsid w:val="307B44AD"/>
    <w:rsid w:val="30974E22"/>
    <w:rsid w:val="309E5FF7"/>
    <w:rsid w:val="30B23898"/>
    <w:rsid w:val="30DF1094"/>
    <w:rsid w:val="317E4255"/>
    <w:rsid w:val="31C205E6"/>
    <w:rsid w:val="31C6519A"/>
    <w:rsid w:val="31C73034"/>
    <w:rsid w:val="32062C78"/>
    <w:rsid w:val="32087FC3"/>
    <w:rsid w:val="320F4EAD"/>
    <w:rsid w:val="322A6C7A"/>
    <w:rsid w:val="32356F54"/>
    <w:rsid w:val="327862EE"/>
    <w:rsid w:val="32856C03"/>
    <w:rsid w:val="32A76BDA"/>
    <w:rsid w:val="32B33085"/>
    <w:rsid w:val="32E160FF"/>
    <w:rsid w:val="32F13CE5"/>
    <w:rsid w:val="32F32A21"/>
    <w:rsid w:val="330172C6"/>
    <w:rsid w:val="334131D3"/>
    <w:rsid w:val="33423060"/>
    <w:rsid w:val="33557238"/>
    <w:rsid w:val="33672DC3"/>
    <w:rsid w:val="34486EB4"/>
    <w:rsid w:val="34522547"/>
    <w:rsid w:val="34597BA1"/>
    <w:rsid w:val="34800CEE"/>
    <w:rsid w:val="34C6027F"/>
    <w:rsid w:val="34D06C82"/>
    <w:rsid w:val="350F0BFE"/>
    <w:rsid w:val="3536078E"/>
    <w:rsid w:val="35643AD5"/>
    <w:rsid w:val="356B689E"/>
    <w:rsid w:val="357240D1"/>
    <w:rsid w:val="35C200FB"/>
    <w:rsid w:val="35FA5E74"/>
    <w:rsid w:val="364A32AA"/>
    <w:rsid w:val="36FE59F7"/>
    <w:rsid w:val="374313BA"/>
    <w:rsid w:val="376B630F"/>
    <w:rsid w:val="37AB1B1C"/>
    <w:rsid w:val="38037262"/>
    <w:rsid w:val="380C5996"/>
    <w:rsid w:val="38397A20"/>
    <w:rsid w:val="386F3515"/>
    <w:rsid w:val="38AF741A"/>
    <w:rsid w:val="38B30E35"/>
    <w:rsid w:val="38E0098C"/>
    <w:rsid w:val="38FD5D6A"/>
    <w:rsid w:val="39237490"/>
    <w:rsid w:val="392E6A78"/>
    <w:rsid w:val="39677413"/>
    <w:rsid w:val="39AF5FE9"/>
    <w:rsid w:val="3A090A28"/>
    <w:rsid w:val="3A687850"/>
    <w:rsid w:val="3A8C2C0D"/>
    <w:rsid w:val="3A9B669F"/>
    <w:rsid w:val="3ACC20B6"/>
    <w:rsid w:val="3B425298"/>
    <w:rsid w:val="3BAE6A8A"/>
    <w:rsid w:val="3C3E4D0D"/>
    <w:rsid w:val="3C876AF0"/>
    <w:rsid w:val="3CF80191"/>
    <w:rsid w:val="3D0C25A5"/>
    <w:rsid w:val="3D5B369C"/>
    <w:rsid w:val="3D613D22"/>
    <w:rsid w:val="3D8403C5"/>
    <w:rsid w:val="3E3143FD"/>
    <w:rsid w:val="3E614CE2"/>
    <w:rsid w:val="3EC95459"/>
    <w:rsid w:val="3F0C1F33"/>
    <w:rsid w:val="3F941E72"/>
    <w:rsid w:val="40062ACB"/>
    <w:rsid w:val="40313A54"/>
    <w:rsid w:val="40644392"/>
    <w:rsid w:val="40882F15"/>
    <w:rsid w:val="408C1F12"/>
    <w:rsid w:val="409F192A"/>
    <w:rsid w:val="40C64515"/>
    <w:rsid w:val="40C663C9"/>
    <w:rsid w:val="412F1B65"/>
    <w:rsid w:val="417D1041"/>
    <w:rsid w:val="41A315F9"/>
    <w:rsid w:val="41F55AA4"/>
    <w:rsid w:val="42223637"/>
    <w:rsid w:val="425F6630"/>
    <w:rsid w:val="4265671D"/>
    <w:rsid w:val="428B6E94"/>
    <w:rsid w:val="42BA0E65"/>
    <w:rsid w:val="42CD6DEA"/>
    <w:rsid w:val="42D8179F"/>
    <w:rsid w:val="42FA510C"/>
    <w:rsid w:val="430E5A01"/>
    <w:rsid w:val="431C1B20"/>
    <w:rsid w:val="438D0328"/>
    <w:rsid w:val="43A30364"/>
    <w:rsid w:val="43C85745"/>
    <w:rsid w:val="442D1921"/>
    <w:rsid w:val="44E66AD2"/>
    <w:rsid w:val="450E6D7A"/>
    <w:rsid w:val="46200F7E"/>
    <w:rsid w:val="464A0752"/>
    <w:rsid w:val="46715CDF"/>
    <w:rsid w:val="46BB42E2"/>
    <w:rsid w:val="46D36999"/>
    <w:rsid w:val="47471001"/>
    <w:rsid w:val="476A2C78"/>
    <w:rsid w:val="47777325"/>
    <w:rsid w:val="478005D2"/>
    <w:rsid w:val="47992888"/>
    <w:rsid w:val="479D3534"/>
    <w:rsid w:val="47C307BC"/>
    <w:rsid w:val="4854142E"/>
    <w:rsid w:val="4858276E"/>
    <w:rsid w:val="48A51834"/>
    <w:rsid w:val="48AD7515"/>
    <w:rsid w:val="48E94252"/>
    <w:rsid w:val="49022A4B"/>
    <w:rsid w:val="490A726C"/>
    <w:rsid w:val="498336EE"/>
    <w:rsid w:val="49A92BA2"/>
    <w:rsid w:val="49CF169A"/>
    <w:rsid w:val="49FE3D2D"/>
    <w:rsid w:val="4A3E47FB"/>
    <w:rsid w:val="4A5A086E"/>
    <w:rsid w:val="4AA80B2C"/>
    <w:rsid w:val="4ACF7A36"/>
    <w:rsid w:val="4B7F2A04"/>
    <w:rsid w:val="4BAE6B58"/>
    <w:rsid w:val="4BBF0072"/>
    <w:rsid w:val="4BD036A7"/>
    <w:rsid w:val="4C5F3DED"/>
    <w:rsid w:val="4CAA1F4A"/>
    <w:rsid w:val="4CDC29F0"/>
    <w:rsid w:val="4CDF5BD4"/>
    <w:rsid w:val="4CF64215"/>
    <w:rsid w:val="4D1359C3"/>
    <w:rsid w:val="4D212310"/>
    <w:rsid w:val="4D4C0D5E"/>
    <w:rsid w:val="4DB17F72"/>
    <w:rsid w:val="4DDA060D"/>
    <w:rsid w:val="4DF220DA"/>
    <w:rsid w:val="4E3C7698"/>
    <w:rsid w:val="4E6220F8"/>
    <w:rsid w:val="4E781177"/>
    <w:rsid w:val="4EA60F65"/>
    <w:rsid w:val="4EC16AC8"/>
    <w:rsid w:val="4ECE11A2"/>
    <w:rsid w:val="4EFB6A8D"/>
    <w:rsid w:val="4F3F4BCC"/>
    <w:rsid w:val="4FD95020"/>
    <w:rsid w:val="50342257"/>
    <w:rsid w:val="50B047BD"/>
    <w:rsid w:val="50EB3A9F"/>
    <w:rsid w:val="51083017"/>
    <w:rsid w:val="515423B5"/>
    <w:rsid w:val="519478D5"/>
    <w:rsid w:val="51CF2D8E"/>
    <w:rsid w:val="52A953C7"/>
    <w:rsid w:val="52CA1B96"/>
    <w:rsid w:val="53144763"/>
    <w:rsid w:val="531A4198"/>
    <w:rsid w:val="539B6B72"/>
    <w:rsid w:val="53EE5CD3"/>
    <w:rsid w:val="5406286E"/>
    <w:rsid w:val="54071A30"/>
    <w:rsid w:val="545E6319"/>
    <w:rsid w:val="54C6369A"/>
    <w:rsid w:val="550545DD"/>
    <w:rsid w:val="550A7A2A"/>
    <w:rsid w:val="5536754D"/>
    <w:rsid w:val="5539030F"/>
    <w:rsid w:val="556967CA"/>
    <w:rsid w:val="566E2399"/>
    <w:rsid w:val="56DC79F4"/>
    <w:rsid w:val="56E659A0"/>
    <w:rsid w:val="56EF4237"/>
    <w:rsid w:val="570F7EDB"/>
    <w:rsid w:val="571E77BD"/>
    <w:rsid w:val="573C74B5"/>
    <w:rsid w:val="574C4C45"/>
    <w:rsid w:val="57715B3F"/>
    <w:rsid w:val="57C72C2A"/>
    <w:rsid w:val="57DD755D"/>
    <w:rsid w:val="581A74D8"/>
    <w:rsid w:val="58935F89"/>
    <w:rsid w:val="58995112"/>
    <w:rsid w:val="58A70D79"/>
    <w:rsid w:val="58D35E49"/>
    <w:rsid w:val="58F85DEC"/>
    <w:rsid w:val="596D2336"/>
    <w:rsid w:val="59E771C6"/>
    <w:rsid w:val="59EB2074"/>
    <w:rsid w:val="5A25576F"/>
    <w:rsid w:val="5A275C5C"/>
    <w:rsid w:val="5A8917DB"/>
    <w:rsid w:val="5A8E50A1"/>
    <w:rsid w:val="5AB2291B"/>
    <w:rsid w:val="5ACE14FA"/>
    <w:rsid w:val="5B09250D"/>
    <w:rsid w:val="5BE909A8"/>
    <w:rsid w:val="5C0C22DA"/>
    <w:rsid w:val="5C121CF5"/>
    <w:rsid w:val="5C5509A8"/>
    <w:rsid w:val="5C5B5D44"/>
    <w:rsid w:val="5C5D27F2"/>
    <w:rsid w:val="5C604135"/>
    <w:rsid w:val="5C7F6BB4"/>
    <w:rsid w:val="5CAC586B"/>
    <w:rsid w:val="5D052FDA"/>
    <w:rsid w:val="5D5D2D8C"/>
    <w:rsid w:val="5D727DDC"/>
    <w:rsid w:val="5D804D2D"/>
    <w:rsid w:val="5DA00EB0"/>
    <w:rsid w:val="5DDD3E9C"/>
    <w:rsid w:val="5DE84681"/>
    <w:rsid w:val="5E8C7702"/>
    <w:rsid w:val="5F072BE8"/>
    <w:rsid w:val="5F0A2F96"/>
    <w:rsid w:val="5F200556"/>
    <w:rsid w:val="5F4B34F8"/>
    <w:rsid w:val="5F61293D"/>
    <w:rsid w:val="5FB34C4C"/>
    <w:rsid w:val="5FBA3DFB"/>
    <w:rsid w:val="602773EC"/>
    <w:rsid w:val="60413278"/>
    <w:rsid w:val="609A21B5"/>
    <w:rsid w:val="60E00B61"/>
    <w:rsid w:val="60F8107F"/>
    <w:rsid w:val="61736860"/>
    <w:rsid w:val="61AE4166"/>
    <w:rsid w:val="62124F20"/>
    <w:rsid w:val="623460E6"/>
    <w:rsid w:val="637349EC"/>
    <w:rsid w:val="638C3D00"/>
    <w:rsid w:val="63DE6250"/>
    <w:rsid w:val="64371CD5"/>
    <w:rsid w:val="64627F4B"/>
    <w:rsid w:val="646458B8"/>
    <w:rsid w:val="64801AB7"/>
    <w:rsid w:val="65902BC9"/>
    <w:rsid w:val="65A90535"/>
    <w:rsid w:val="666A0801"/>
    <w:rsid w:val="66736D0A"/>
    <w:rsid w:val="667C2208"/>
    <w:rsid w:val="66BB199F"/>
    <w:rsid w:val="678A0557"/>
    <w:rsid w:val="67B24FE9"/>
    <w:rsid w:val="67C41CBB"/>
    <w:rsid w:val="67CA3D41"/>
    <w:rsid w:val="67D674D2"/>
    <w:rsid w:val="67F26902"/>
    <w:rsid w:val="686D5EAE"/>
    <w:rsid w:val="687234C5"/>
    <w:rsid w:val="689E02F8"/>
    <w:rsid w:val="68A5748A"/>
    <w:rsid w:val="68B22997"/>
    <w:rsid w:val="68D4417F"/>
    <w:rsid w:val="68D8128A"/>
    <w:rsid w:val="69670B4F"/>
    <w:rsid w:val="698A0CE2"/>
    <w:rsid w:val="69C6217D"/>
    <w:rsid w:val="69EF1BC6"/>
    <w:rsid w:val="69F42F9E"/>
    <w:rsid w:val="69F73655"/>
    <w:rsid w:val="6AEF7C02"/>
    <w:rsid w:val="6AF32471"/>
    <w:rsid w:val="6B0C5E52"/>
    <w:rsid w:val="6B351850"/>
    <w:rsid w:val="6B517D09"/>
    <w:rsid w:val="6B9538CA"/>
    <w:rsid w:val="6C205CA5"/>
    <w:rsid w:val="6C2C48AC"/>
    <w:rsid w:val="6C64581A"/>
    <w:rsid w:val="6C7D068A"/>
    <w:rsid w:val="6C8E5718"/>
    <w:rsid w:val="6CC22328"/>
    <w:rsid w:val="6CD56AF4"/>
    <w:rsid w:val="6D105413"/>
    <w:rsid w:val="6D8E6A33"/>
    <w:rsid w:val="6D9B41D9"/>
    <w:rsid w:val="6DB620A5"/>
    <w:rsid w:val="6DC5678C"/>
    <w:rsid w:val="6DCC7B1B"/>
    <w:rsid w:val="6DDE0181"/>
    <w:rsid w:val="6DEE7A91"/>
    <w:rsid w:val="6E361438"/>
    <w:rsid w:val="6E732C64"/>
    <w:rsid w:val="6F112AEE"/>
    <w:rsid w:val="6F154B2D"/>
    <w:rsid w:val="6F2511CB"/>
    <w:rsid w:val="6F2968A7"/>
    <w:rsid w:val="6F751AEC"/>
    <w:rsid w:val="6FB50225"/>
    <w:rsid w:val="6FC53298"/>
    <w:rsid w:val="6FD74555"/>
    <w:rsid w:val="6FE008DC"/>
    <w:rsid w:val="707F6CDF"/>
    <w:rsid w:val="70B623BC"/>
    <w:rsid w:val="70EC5DDE"/>
    <w:rsid w:val="716A6CEF"/>
    <w:rsid w:val="7174629C"/>
    <w:rsid w:val="71771B4C"/>
    <w:rsid w:val="71A225F8"/>
    <w:rsid w:val="728F7C9A"/>
    <w:rsid w:val="72914E8F"/>
    <w:rsid w:val="730A7B5D"/>
    <w:rsid w:val="736507F6"/>
    <w:rsid w:val="737546EB"/>
    <w:rsid w:val="738348E4"/>
    <w:rsid w:val="73B434AA"/>
    <w:rsid w:val="73C71690"/>
    <w:rsid w:val="741E09A4"/>
    <w:rsid w:val="74356A43"/>
    <w:rsid w:val="75042A89"/>
    <w:rsid w:val="75056276"/>
    <w:rsid w:val="75267B11"/>
    <w:rsid w:val="75941935"/>
    <w:rsid w:val="76361FD5"/>
    <w:rsid w:val="7640553A"/>
    <w:rsid w:val="76C27424"/>
    <w:rsid w:val="76C3229F"/>
    <w:rsid w:val="76CE1080"/>
    <w:rsid w:val="76FC03FE"/>
    <w:rsid w:val="77313F8E"/>
    <w:rsid w:val="774A788F"/>
    <w:rsid w:val="77565BBE"/>
    <w:rsid w:val="781F13F3"/>
    <w:rsid w:val="786966E6"/>
    <w:rsid w:val="78895CA5"/>
    <w:rsid w:val="78C9099C"/>
    <w:rsid w:val="79157851"/>
    <w:rsid w:val="7917399A"/>
    <w:rsid w:val="79202BB4"/>
    <w:rsid w:val="79490272"/>
    <w:rsid w:val="79AA5B6F"/>
    <w:rsid w:val="79C36276"/>
    <w:rsid w:val="79DD63C4"/>
    <w:rsid w:val="79E76A6B"/>
    <w:rsid w:val="7A0B1FEC"/>
    <w:rsid w:val="7A140B64"/>
    <w:rsid w:val="7A20184B"/>
    <w:rsid w:val="7A6212D3"/>
    <w:rsid w:val="7A86426A"/>
    <w:rsid w:val="7A9C506C"/>
    <w:rsid w:val="7B0D1124"/>
    <w:rsid w:val="7B1F0726"/>
    <w:rsid w:val="7B2956D5"/>
    <w:rsid w:val="7B67393B"/>
    <w:rsid w:val="7B967CF4"/>
    <w:rsid w:val="7C190ABB"/>
    <w:rsid w:val="7C305674"/>
    <w:rsid w:val="7C440929"/>
    <w:rsid w:val="7C7A77AE"/>
    <w:rsid w:val="7C7B61D7"/>
    <w:rsid w:val="7C9C7F45"/>
    <w:rsid w:val="7D5329EC"/>
    <w:rsid w:val="7D6F6B54"/>
    <w:rsid w:val="7DB859C6"/>
    <w:rsid w:val="7DE47DC2"/>
    <w:rsid w:val="7DEB126C"/>
    <w:rsid w:val="7E9815D8"/>
    <w:rsid w:val="7EB93486"/>
    <w:rsid w:val="7EC23C02"/>
    <w:rsid w:val="7ED038B2"/>
    <w:rsid w:val="7ED24865"/>
    <w:rsid w:val="7EF548B9"/>
    <w:rsid w:val="7F0B7D77"/>
    <w:rsid w:val="7F342CC9"/>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39" w:semiHidden="0" w:name="toc 2"/>
    <w:lsdException w:qFormat="1" w:unhideWhenUsed="0"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qFormat="1" w:uiPriority="0"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0"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61"/>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62"/>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66"/>
    <w:unhideWhenUsed/>
    <w:qFormat/>
    <w:uiPriority w:val="9"/>
    <w:pPr>
      <w:keepNext/>
      <w:keepLines/>
      <w:spacing w:before="260" w:after="260" w:line="416" w:lineRule="auto"/>
      <w:outlineLvl w:val="2"/>
    </w:pPr>
    <w:rPr>
      <w:b/>
      <w:bCs/>
      <w:sz w:val="32"/>
      <w:szCs w:val="32"/>
    </w:rPr>
  </w:style>
  <w:style w:type="character" w:default="1" w:styleId="22">
    <w:name w:val="Default Paragraph Font"/>
    <w:semiHidden/>
    <w:unhideWhenUsed/>
    <w:uiPriority w:val="1"/>
  </w:style>
  <w:style w:type="table" w:default="1" w:styleId="26">
    <w:name w:val="Normal Table"/>
    <w:semiHidden/>
    <w:unhideWhenUsed/>
    <w:qFormat/>
    <w:uiPriority w:val="99"/>
    <w:tblPr>
      <w:tblLayout w:type="fixed"/>
      <w:tblCellMar>
        <w:top w:w="0" w:type="dxa"/>
        <w:left w:w="108" w:type="dxa"/>
        <w:bottom w:w="0" w:type="dxa"/>
        <w:right w:w="108" w:type="dxa"/>
      </w:tblCellMar>
    </w:tblPr>
  </w:style>
  <w:style w:type="paragraph" w:styleId="5">
    <w:name w:val="annotation subject"/>
    <w:basedOn w:val="6"/>
    <w:next w:val="6"/>
    <w:link w:val="73"/>
    <w:semiHidden/>
    <w:unhideWhenUsed/>
    <w:qFormat/>
    <w:uiPriority w:val="99"/>
    <w:rPr>
      <w:b/>
      <w:bCs/>
    </w:rPr>
  </w:style>
  <w:style w:type="paragraph" w:styleId="6">
    <w:name w:val="annotation text"/>
    <w:basedOn w:val="1"/>
    <w:link w:val="72"/>
    <w:unhideWhenUsed/>
    <w:qFormat/>
    <w:uiPriority w:val="0"/>
    <w:pPr>
      <w:jc w:val="left"/>
    </w:pPr>
  </w:style>
  <w:style w:type="paragraph" w:styleId="7">
    <w:name w:val="toc 7"/>
    <w:basedOn w:val="1"/>
    <w:next w:val="1"/>
    <w:unhideWhenUsed/>
    <w:qFormat/>
    <w:uiPriority w:val="39"/>
    <w:pPr>
      <w:ind w:left="1260"/>
      <w:jc w:val="left"/>
    </w:pPr>
    <w:rPr>
      <w:rFonts w:cstheme="minorHAnsi"/>
      <w:sz w:val="18"/>
      <w:szCs w:val="18"/>
    </w:rPr>
  </w:style>
  <w:style w:type="paragraph" w:styleId="8">
    <w:name w:val="Body Text"/>
    <w:basedOn w:val="1"/>
    <w:link w:val="67"/>
    <w:qFormat/>
    <w:uiPriority w:val="1"/>
    <w:pPr>
      <w:spacing w:before="116"/>
      <w:ind w:left="117"/>
      <w:jc w:val="left"/>
    </w:pPr>
    <w:rPr>
      <w:rFonts w:ascii="宋体" w:hAnsi="宋体" w:eastAsia="宋体"/>
      <w:kern w:val="0"/>
      <w:szCs w:val="21"/>
      <w:lang w:eastAsia="en-US"/>
    </w:rPr>
  </w:style>
  <w:style w:type="paragraph" w:styleId="9">
    <w:name w:val="toc 5"/>
    <w:basedOn w:val="1"/>
    <w:next w:val="1"/>
    <w:unhideWhenUsed/>
    <w:qFormat/>
    <w:uiPriority w:val="39"/>
    <w:pPr>
      <w:ind w:left="840"/>
      <w:jc w:val="left"/>
    </w:pPr>
    <w:rPr>
      <w:rFonts w:cstheme="minorHAnsi"/>
      <w:sz w:val="18"/>
      <w:szCs w:val="18"/>
    </w:rPr>
  </w:style>
  <w:style w:type="paragraph" w:styleId="10">
    <w:name w:val="toc 3"/>
    <w:basedOn w:val="1"/>
    <w:next w:val="1"/>
    <w:qFormat/>
    <w:uiPriority w:val="39"/>
    <w:pPr>
      <w:ind w:left="420"/>
      <w:jc w:val="left"/>
    </w:pPr>
    <w:rPr>
      <w:rFonts w:cstheme="minorHAnsi"/>
      <w:i/>
      <w:iCs/>
      <w:sz w:val="20"/>
      <w:szCs w:val="20"/>
    </w:rPr>
  </w:style>
  <w:style w:type="paragraph" w:styleId="11">
    <w:name w:val="toc 8"/>
    <w:basedOn w:val="1"/>
    <w:next w:val="1"/>
    <w:unhideWhenUsed/>
    <w:qFormat/>
    <w:uiPriority w:val="39"/>
    <w:pPr>
      <w:ind w:left="1470"/>
      <w:jc w:val="left"/>
    </w:pPr>
    <w:rPr>
      <w:rFonts w:cstheme="minorHAnsi"/>
      <w:sz w:val="18"/>
      <w:szCs w:val="18"/>
    </w:rPr>
  </w:style>
  <w:style w:type="paragraph" w:styleId="12">
    <w:name w:val="Date"/>
    <w:basedOn w:val="1"/>
    <w:next w:val="1"/>
    <w:link w:val="69"/>
    <w:semiHidden/>
    <w:unhideWhenUsed/>
    <w:qFormat/>
    <w:uiPriority w:val="99"/>
    <w:pPr>
      <w:ind w:left="100" w:leftChars="2500"/>
    </w:pPr>
  </w:style>
  <w:style w:type="paragraph" w:styleId="13">
    <w:name w:val="Balloon Text"/>
    <w:basedOn w:val="1"/>
    <w:link w:val="64"/>
    <w:semiHidden/>
    <w:unhideWhenUsed/>
    <w:qFormat/>
    <w:uiPriority w:val="99"/>
    <w:rPr>
      <w:sz w:val="18"/>
      <w:szCs w:val="18"/>
    </w:rPr>
  </w:style>
  <w:style w:type="paragraph" w:styleId="14">
    <w:name w:val="footer"/>
    <w:basedOn w:val="1"/>
    <w:link w:val="29"/>
    <w:unhideWhenUsed/>
    <w:qFormat/>
    <w:uiPriority w:val="99"/>
    <w:pPr>
      <w:tabs>
        <w:tab w:val="center" w:pos="4153"/>
        <w:tab w:val="right" w:pos="8306"/>
      </w:tabs>
      <w:snapToGrid w:val="0"/>
      <w:jc w:val="left"/>
    </w:pPr>
    <w:rPr>
      <w:sz w:val="18"/>
      <w:szCs w:val="18"/>
    </w:rPr>
  </w:style>
  <w:style w:type="paragraph" w:styleId="15">
    <w:name w:val="header"/>
    <w:basedOn w:val="1"/>
    <w:link w:val="28"/>
    <w:unhideWhenUsed/>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spacing w:before="120" w:after="120"/>
      <w:jc w:val="left"/>
    </w:pPr>
    <w:rPr>
      <w:rFonts w:cstheme="minorHAnsi"/>
      <w:b/>
      <w:bCs/>
      <w:caps/>
      <w:sz w:val="20"/>
      <w:szCs w:val="20"/>
    </w:rPr>
  </w:style>
  <w:style w:type="paragraph" w:styleId="17">
    <w:name w:val="toc 4"/>
    <w:basedOn w:val="1"/>
    <w:next w:val="1"/>
    <w:unhideWhenUsed/>
    <w:qFormat/>
    <w:uiPriority w:val="39"/>
    <w:pPr>
      <w:ind w:left="630"/>
      <w:jc w:val="left"/>
    </w:pPr>
    <w:rPr>
      <w:rFonts w:cstheme="minorHAnsi"/>
      <w:sz w:val="18"/>
      <w:szCs w:val="18"/>
    </w:rPr>
  </w:style>
  <w:style w:type="paragraph" w:styleId="18">
    <w:name w:val="toc 6"/>
    <w:basedOn w:val="1"/>
    <w:next w:val="1"/>
    <w:unhideWhenUsed/>
    <w:qFormat/>
    <w:uiPriority w:val="39"/>
    <w:pPr>
      <w:ind w:left="1050"/>
      <w:jc w:val="left"/>
    </w:pPr>
    <w:rPr>
      <w:rFonts w:cstheme="minorHAnsi"/>
      <w:sz w:val="18"/>
      <w:szCs w:val="18"/>
    </w:rPr>
  </w:style>
  <w:style w:type="paragraph" w:styleId="19">
    <w:name w:val="toc 2"/>
    <w:basedOn w:val="1"/>
    <w:next w:val="1"/>
    <w:unhideWhenUsed/>
    <w:qFormat/>
    <w:uiPriority w:val="39"/>
    <w:pPr>
      <w:ind w:left="210"/>
      <w:jc w:val="left"/>
    </w:pPr>
    <w:rPr>
      <w:rFonts w:cstheme="minorHAnsi"/>
      <w:smallCaps/>
      <w:sz w:val="20"/>
      <w:szCs w:val="20"/>
    </w:rPr>
  </w:style>
  <w:style w:type="paragraph" w:styleId="20">
    <w:name w:val="toc 9"/>
    <w:basedOn w:val="1"/>
    <w:next w:val="1"/>
    <w:unhideWhenUsed/>
    <w:qFormat/>
    <w:uiPriority w:val="39"/>
    <w:pPr>
      <w:ind w:left="1680"/>
      <w:jc w:val="left"/>
    </w:pPr>
    <w:rPr>
      <w:rFonts w:cstheme="minorHAnsi"/>
      <w:sz w:val="18"/>
      <w:szCs w:val="18"/>
    </w:rPr>
  </w:style>
  <w:style w:type="paragraph" w:styleId="2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23">
    <w:name w:val="FollowedHyperlink"/>
    <w:basedOn w:val="22"/>
    <w:semiHidden/>
    <w:unhideWhenUsed/>
    <w:qFormat/>
    <w:uiPriority w:val="99"/>
    <w:rPr>
      <w:color w:val="800080" w:themeColor="followedHyperlink"/>
      <w:u w:val="single"/>
      <w14:textFill>
        <w14:solidFill>
          <w14:schemeClr w14:val="folHlink"/>
        </w14:solidFill>
      </w14:textFill>
    </w:rPr>
  </w:style>
  <w:style w:type="character" w:styleId="24">
    <w:name w:val="Hyperlink"/>
    <w:qFormat/>
    <w:uiPriority w:val="99"/>
    <w:rPr>
      <w:color w:val="0000FF"/>
      <w:spacing w:val="0"/>
      <w:w w:val="100"/>
      <w:szCs w:val="21"/>
      <w:u w:val="single"/>
      <w:lang w:val="en-US" w:eastAsia="zh-CN"/>
    </w:rPr>
  </w:style>
  <w:style w:type="character" w:styleId="25">
    <w:name w:val="annotation reference"/>
    <w:basedOn w:val="22"/>
    <w:unhideWhenUsed/>
    <w:qFormat/>
    <w:uiPriority w:val="0"/>
    <w:rPr>
      <w:sz w:val="21"/>
      <w:szCs w:val="21"/>
    </w:rPr>
  </w:style>
  <w:style w:type="table" w:styleId="27">
    <w:name w:val="Table Grid"/>
    <w:basedOn w:val="26"/>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28">
    <w:name w:val="页眉 字符"/>
    <w:basedOn w:val="22"/>
    <w:link w:val="15"/>
    <w:qFormat/>
    <w:uiPriority w:val="99"/>
    <w:rPr>
      <w:sz w:val="18"/>
      <w:szCs w:val="18"/>
    </w:rPr>
  </w:style>
  <w:style w:type="character" w:customStyle="1" w:styleId="29">
    <w:name w:val="页脚 字符"/>
    <w:basedOn w:val="22"/>
    <w:link w:val="14"/>
    <w:qFormat/>
    <w:uiPriority w:val="99"/>
    <w:rPr>
      <w:sz w:val="18"/>
      <w:szCs w:val="18"/>
    </w:rPr>
  </w:style>
  <w:style w:type="paragraph" w:customStyle="1" w:styleId="30">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1">
    <w:name w:val="封面标准英文名称"/>
    <w:basedOn w:val="30"/>
    <w:qFormat/>
    <w:uiPriority w:val="0"/>
    <w:pPr>
      <w:spacing w:before="370" w:line="400" w:lineRule="exact"/>
    </w:pPr>
    <w:rPr>
      <w:rFonts w:ascii="Times New Roman"/>
      <w:sz w:val="28"/>
      <w:szCs w:val="28"/>
    </w:rPr>
  </w:style>
  <w:style w:type="character" w:customStyle="1" w:styleId="32">
    <w:name w:val="段 Char"/>
    <w:link w:val="33"/>
    <w:qFormat/>
    <w:uiPriority w:val="0"/>
    <w:rPr>
      <w:rFonts w:ascii="宋体"/>
    </w:rPr>
  </w:style>
  <w:style w:type="paragraph" w:customStyle="1" w:styleId="33">
    <w:name w:val="段"/>
    <w:link w:val="32"/>
    <w:qFormat/>
    <w:uiPriority w:val="0"/>
    <w:pPr>
      <w:tabs>
        <w:tab w:val="center" w:pos="4201"/>
        <w:tab w:val="right" w:leader="dot" w:pos="9298"/>
      </w:tabs>
      <w:autoSpaceDE w:val="0"/>
      <w:autoSpaceDN w:val="0"/>
      <w:ind w:firstLine="420" w:firstLineChars="200"/>
      <w:jc w:val="both"/>
    </w:pPr>
    <w:rPr>
      <w:rFonts w:ascii="宋体" w:hAnsiTheme="minorHAnsi" w:eastAsiaTheme="minorEastAsia" w:cstheme="minorBidi"/>
      <w:kern w:val="2"/>
      <w:sz w:val="21"/>
      <w:szCs w:val="22"/>
      <w:lang w:val="en-US" w:eastAsia="zh-CN" w:bidi="ar-SA"/>
    </w:rPr>
  </w:style>
  <w:style w:type="character" w:customStyle="1" w:styleId="34">
    <w:name w:val="发布"/>
    <w:qFormat/>
    <w:uiPriority w:val="0"/>
    <w:rPr>
      <w:rFonts w:ascii="黑体" w:eastAsia="黑体"/>
      <w:spacing w:val="85"/>
      <w:w w:val="100"/>
      <w:position w:val="3"/>
      <w:sz w:val="28"/>
      <w:szCs w:val="28"/>
    </w:rPr>
  </w:style>
  <w:style w:type="paragraph" w:customStyle="1" w:styleId="35">
    <w:name w:val="文献分类号"/>
    <w:qFormat/>
    <w:uiPriority w:val="0"/>
    <w:pPr>
      <w:widowControl w:val="0"/>
      <w:textAlignment w:val="center"/>
    </w:pPr>
    <w:rPr>
      <w:rFonts w:ascii="黑体" w:hAnsi="Times New Roman" w:eastAsia="黑体" w:cs="Times New Roman"/>
      <w:sz w:val="21"/>
      <w:szCs w:val="21"/>
      <w:lang w:val="en-US" w:eastAsia="zh-CN" w:bidi="ar-SA"/>
    </w:rPr>
  </w:style>
  <w:style w:type="paragraph" w:customStyle="1" w:styleId="36">
    <w:name w:val="二级条标题"/>
    <w:basedOn w:val="37"/>
    <w:next w:val="33"/>
    <w:qFormat/>
    <w:uiPriority w:val="0"/>
    <w:pPr>
      <w:numPr>
        <w:ilvl w:val="2"/>
      </w:numPr>
      <w:spacing w:beforeLines="0" w:afterLines="0"/>
      <w:outlineLvl w:val="3"/>
    </w:pPr>
  </w:style>
  <w:style w:type="paragraph" w:customStyle="1" w:styleId="37">
    <w:name w:val="一级条标题"/>
    <w:next w:val="33"/>
    <w:qFormat/>
    <w:uiPriority w:val="0"/>
    <w:pPr>
      <w:numPr>
        <w:ilvl w:val="1"/>
        <w:numId w:val="1"/>
      </w:numPr>
      <w:spacing w:beforeLines="50" w:afterLines="50"/>
      <w:outlineLvl w:val="2"/>
    </w:pPr>
    <w:rPr>
      <w:rFonts w:ascii="黑体" w:hAnsi="Times New Roman" w:eastAsia="黑体" w:cs="Times New Roman"/>
      <w:sz w:val="21"/>
      <w:szCs w:val="21"/>
      <w:lang w:val="en-US" w:eastAsia="zh-CN" w:bidi="ar-SA"/>
    </w:rPr>
  </w:style>
  <w:style w:type="paragraph" w:customStyle="1" w:styleId="38">
    <w:name w:val="附录表标号"/>
    <w:basedOn w:val="1"/>
    <w:next w:val="33"/>
    <w:qFormat/>
    <w:uiPriority w:val="0"/>
    <w:pPr>
      <w:spacing w:line="14" w:lineRule="exact"/>
      <w:ind w:left="811" w:hanging="448"/>
      <w:jc w:val="center"/>
      <w:outlineLvl w:val="0"/>
    </w:pPr>
    <w:rPr>
      <w:rFonts w:ascii="Times New Roman" w:hAnsi="Times New Roman" w:eastAsia="宋体" w:cs="Times New Roman"/>
      <w:color w:val="FFFFFF"/>
      <w:szCs w:val="24"/>
    </w:rPr>
  </w:style>
  <w:style w:type="paragraph" w:customStyle="1" w:styleId="39">
    <w:name w:val="正文表标题"/>
    <w:next w:val="33"/>
    <w:qFormat/>
    <w:uiPriority w:val="0"/>
    <w:pPr>
      <w:tabs>
        <w:tab w:val="left" w:pos="360"/>
        <w:tab w:val="left" w:pos="720"/>
      </w:tabs>
      <w:spacing w:beforeLines="50" w:afterLines="50"/>
      <w:ind w:left="720" w:hanging="720"/>
      <w:jc w:val="center"/>
    </w:pPr>
    <w:rPr>
      <w:rFonts w:ascii="黑体" w:hAnsi="Times New Roman" w:eastAsia="黑体" w:cs="Times New Roman"/>
      <w:sz w:val="21"/>
      <w:lang w:val="en-US" w:eastAsia="zh-CN" w:bidi="ar-SA"/>
    </w:rPr>
  </w:style>
  <w:style w:type="paragraph" w:customStyle="1" w:styleId="40">
    <w:name w:val="字母编号列项（一级）"/>
    <w:qFormat/>
    <w:uiPriority w:val="0"/>
    <w:pPr>
      <w:tabs>
        <w:tab w:val="left" w:pos="720"/>
        <w:tab w:val="left" w:pos="840"/>
      </w:tabs>
      <w:ind w:left="720" w:hanging="720"/>
      <w:jc w:val="both"/>
    </w:pPr>
    <w:rPr>
      <w:rFonts w:ascii="宋体" w:hAnsi="Times New Roman" w:eastAsia="宋体" w:cs="Times New Roman"/>
      <w:sz w:val="21"/>
      <w:lang w:val="en-US" w:eastAsia="zh-CN" w:bidi="ar-SA"/>
    </w:rPr>
  </w:style>
  <w:style w:type="paragraph" w:customStyle="1" w:styleId="41">
    <w:name w:val="章标题"/>
    <w:next w:val="33"/>
    <w:link w:val="81"/>
    <w:qFormat/>
    <w:uiPriority w:val="0"/>
    <w:pPr>
      <w:numPr>
        <w:ilvl w:val="0"/>
        <w:numId w:val="1"/>
      </w:numPr>
      <w:spacing w:beforeLines="100" w:afterLines="100"/>
      <w:jc w:val="both"/>
      <w:outlineLvl w:val="1"/>
    </w:pPr>
    <w:rPr>
      <w:rFonts w:ascii="黑体" w:hAnsi="Times New Roman" w:eastAsia="黑体" w:cs="Times New Roman"/>
      <w:sz w:val="21"/>
      <w:lang w:val="en-US" w:eastAsia="zh-CN" w:bidi="ar-SA"/>
    </w:rPr>
  </w:style>
  <w:style w:type="paragraph" w:customStyle="1" w:styleId="42">
    <w:name w:val="前言、引言标题"/>
    <w:next w:val="33"/>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43">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44">
    <w:name w:val="封面一致性程度标识"/>
    <w:basedOn w:val="31"/>
    <w:qFormat/>
    <w:uiPriority w:val="0"/>
    <w:pPr>
      <w:spacing w:before="440"/>
    </w:pPr>
    <w:rPr>
      <w:rFonts w:ascii="宋体" w:eastAsia="宋体"/>
    </w:rPr>
  </w:style>
  <w:style w:type="paragraph" w:customStyle="1" w:styleId="45">
    <w:name w:val="终结线"/>
    <w:basedOn w:val="1"/>
    <w:qFormat/>
    <w:uiPriority w:val="0"/>
    <w:rPr>
      <w:rFonts w:ascii="Times New Roman" w:hAnsi="Times New Roman" w:eastAsia="宋体" w:cs="Times New Roman"/>
      <w:szCs w:val="24"/>
    </w:rPr>
  </w:style>
  <w:style w:type="paragraph" w:customStyle="1" w:styleId="46">
    <w:name w:val="标准书脚_奇数页"/>
    <w:qFormat/>
    <w:uiPriority w:val="0"/>
    <w:pPr>
      <w:spacing w:before="120"/>
      <w:ind w:right="198"/>
      <w:jc w:val="right"/>
    </w:pPr>
    <w:rPr>
      <w:rFonts w:ascii="宋体" w:hAnsi="Times New Roman" w:eastAsia="宋体" w:cs="Times New Roman"/>
      <w:sz w:val="18"/>
      <w:szCs w:val="18"/>
      <w:lang w:val="en-US" w:eastAsia="zh-CN" w:bidi="ar-SA"/>
    </w:rPr>
  </w:style>
  <w:style w:type="paragraph" w:customStyle="1" w:styleId="47">
    <w:name w:val="其他发布部门"/>
    <w:basedOn w:val="1"/>
    <w:qFormat/>
    <w:uiPriority w:val="0"/>
    <w:pPr>
      <w:widowControl/>
      <w:spacing w:line="0" w:lineRule="atLeast"/>
      <w:jc w:val="center"/>
    </w:pPr>
    <w:rPr>
      <w:rFonts w:ascii="黑体" w:hAnsi="Times New Roman" w:eastAsia="黑体" w:cs="Times New Roman"/>
      <w:spacing w:val="20"/>
      <w:w w:val="135"/>
      <w:kern w:val="0"/>
      <w:sz w:val="28"/>
      <w:szCs w:val="20"/>
    </w:rPr>
  </w:style>
  <w:style w:type="paragraph" w:customStyle="1" w:styleId="48">
    <w:name w:val="封面标准号2"/>
    <w:qFormat/>
    <w:uiPriority w:val="0"/>
    <w:pPr>
      <w:spacing w:before="357" w:line="280" w:lineRule="exact"/>
      <w:jc w:val="right"/>
    </w:pPr>
    <w:rPr>
      <w:rFonts w:ascii="黑体" w:hAnsi="Times New Roman" w:eastAsia="黑体" w:cs="Times New Roman"/>
      <w:sz w:val="28"/>
      <w:szCs w:val="28"/>
      <w:lang w:val="en-US" w:eastAsia="zh-CN" w:bidi="ar-SA"/>
    </w:rPr>
  </w:style>
  <w:style w:type="paragraph" w:customStyle="1" w:styleId="49">
    <w:name w:val="其他发布日期"/>
    <w:basedOn w:val="1"/>
    <w:qFormat/>
    <w:uiPriority w:val="0"/>
    <w:pPr>
      <w:widowControl/>
      <w:jc w:val="left"/>
    </w:pPr>
    <w:rPr>
      <w:rFonts w:ascii="Times New Roman" w:hAnsi="Times New Roman" w:eastAsia="黑体" w:cs="Times New Roman"/>
      <w:kern w:val="0"/>
      <w:sz w:val="28"/>
      <w:szCs w:val="20"/>
    </w:rPr>
  </w:style>
  <w:style w:type="paragraph" w:customStyle="1" w:styleId="50">
    <w:name w:val="封面标准代替信息"/>
    <w:qFormat/>
    <w:uiPriority w:val="0"/>
    <w:pPr>
      <w:spacing w:before="57" w:line="280" w:lineRule="exact"/>
      <w:jc w:val="right"/>
    </w:pPr>
    <w:rPr>
      <w:rFonts w:ascii="宋体" w:hAnsi="Times New Roman" w:eastAsia="宋体" w:cs="Times New Roman"/>
      <w:sz w:val="21"/>
      <w:szCs w:val="21"/>
      <w:lang w:val="en-US" w:eastAsia="zh-CN" w:bidi="ar-SA"/>
    </w:rPr>
  </w:style>
  <w:style w:type="paragraph" w:customStyle="1" w:styleId="51">
    <w:name w:val="封面标准文稿编辑信息"/>
    <w:basedOn w:val="52"/>
    <w:qFormat/>
    <w:uiPriority w:val="0"/>
    <w:pPr>
      <w:spacing w:before="180" w:line="180" w:lineRule="exact"/>
    </w:pPr>
    <w:rPr>
      <w:sz w:val="21"/>
    </w:rPr>
  </w:style>
  <w:style w:type="paragraph" w:customStyle="1" w:styleId="52">
    <w:name w:val="封面标准文稿类别"/>
    <w:basedOn w:val="44"/>
    <w:qFormat/>
    <w:uiPriority w:val="0"/>
    <w:pPr>
      <w:spacing w:after="160" w:line="240" w:lineRule="auto"/>
    </w:pPr>
    <w:rPr>
      <w:sz w:val="24"/>
    </w:rPr>
  </w:style>
  <w:style w:type="paragraph" w:customStyle="1" w:styleId="53">
    <w:name w:val="附录标识"/>
    <w:basedOn w:val="1"/>
    <w:next w:val="33"/>
    <w:qFormat/>
    <w:uiPriority w:val="0"/>
    <w:pPr>
      <w:keepNext/>
      <w:widowControl/>
      <w:shd w:val="clear" w:color="FFFFFF" w:fill="FFFFFF"/>
      <w:tabs>
        <w:tab w:val="left" w:pos="360"/>
        <w:tab w:val="left" w:pos="6405"/>
      </w:tabs>
      <w:spacing w:before="640" w:after="280"/>
      <w:jc w:val="center"/>
      <w:outlineLvl w:val="0"/>
    </w:pPr>
    <w:rPr>
      <w:rFonts w:ascii="黑体" w:hAnsi="Times New Roman" w:eastAsia="黑体" w:cs="Times New Roman"/>
      <w:kern w:val="0"/>
      <w:szCs w:val="20"/>
    </w:rPr>
  </w:style>
  <w:style w:type="paragraph" w:customStyle="1" w:styleId="54">
    <w:name w:val="列项——（一级）"/>
    <w:qFormat/>
    <w:uiPriority w:val="0"/>
    <w:pPr>
      <w:widowControl w:val="0"/>
      <w:ind w:left="623" w:hanging="425"/>
      <w:jc w:val="both"/>
    </w:pPr>
    <w:rPr>
      <w:rFonts w:ascii="宋体" w:hAnsi="Times New Roman" w:eastAsia="宋体" w:cs="Times New Roman"/>
      <w:sz w:val="21"/>
      <w:lang w:val="en-US" w:eastAsia="zh-CN" w:bidi="ar-SA"/>
    </w:rPr>
  </w:style>
  <w:style w:type="paragraph" w:customStyle="1" w:styleId="55">
    <w:name w:val="附录图标号"/>
    <w:basedOn w:val="1"/>
    <w:qFormat/>
    <w:uiPriority w:val="0"/>
    <w:pPr>
      <w:keepNext/>
      <w:pageBreakBefore/>
      <w:widowControl/>
      <w:tabs>
        <w:tab w:val="left" w:pos="720"/>
      </w:tabs>
      <w:spacing w:line="14" w:lineRule="exact"/>
      <w:ind w:left="720" w:firstLine="363"/>
      <w:jc w:val="center"/>
      <w:outlineLvl w:val="0"/>
    </w:pPr>
    <w:rPr>
      <w:rFonts w:ascii="Times New Roman" w:hAnsi="Times New Roman" w:eastAsia="宋体" w:cs="Times New Roman"/>
      <w:color w:val="FFFFFF"/>
      <w:szCs w:val="24"/>
    </w:rPr>
  </w:style>
  <w:style w:type="paragraph" w:customStyle="1" w:styleId="56">
    <w:name w:val="其他标准标志"/>
    <w:basedOn w:val="1"/>
    <w:qFormat/>
    <w:uiPriority w:val="0"/>
    <w:pPr>
      <w:widowControl/>
      <w:shd w:val="solid" w:color="FFFFFF" w:fill="FFFFFF"/>
      <w:spacing w:line="0" w:lineRule="atLeast"/>
      <w:jc w:val="right"/>
    </w:pPr>
    <w:rPr>
      <w:rFonts w:ascii="Times New Roman" w:hAnsi="Times New Roman" w:eastAsia="宋体" w:cs="Times New Roman"/>
      <w:b/>
      <w:w w:val="130"/>
      <w:kern w:val="0"/>
      <w:sz w:val="96"/>
      <w:szCs w:val="96"/>
    </w:rPr>
  </w:style>
  <w:style w:type="paragraph" w:customStyle="1" w:styleId="57">
    <w:name w:val="其他实施日期"/>
    <w:basedOn w:val="1"/>
    <w:qFormat/>
    <w:uiPriority w:val="0"/>
    <w:pPr>
      <w:widowControl/>
      <w:jc w:val="right"/>
    </w:pPr>
    <w:rPr>
      <w:rFonts w:ascii="Times New Roman" w:hAnsi="Times New Roman" w:eastAsia="黑体" w:cs="Times New Roman"/>
      <w:kern w:val="0"/>
      <w:sz w:val="28"/>
      <w:szCs w:val="20"/>
    </w:rPr>
  </w:style>
  <w:style w:type="paragraph" w:customStyle="1" w:styleId="58">
    <w:name w:val="目次、标准名称标题"/>
    <w:basedOn w:val="1"/>
    <w:next w:val="33"/>
    <w:qFormat/>
    <w:uiPriority w:val="0"/>
    <w:pPr>
      <w:keepNext/>
      <w:pageBreakBefore/>
      <w:widowControl/>
      <w:shd w:val="clear" w:color="FFFFFF" w:fill="FFFFFF"/>
      <w:spacing w:before="640" w:after="560" w:line="460" w:lineRule="exact"/>
      <w:jc w:val="center"/>
      <w:outlineLvl w:val="0"/>
    </w:pPr>
    <w:rPr>
      <w:rFonts w:ascii="黑体" w:hAnsi="Times New Roman" w:eastAsia="黑体" w:cs="Times New Roman"/>
      <w:kern w:val="0"/>
      <w:sz w:val="32"/>
      <w:szCs w:val="20"/>
    </w:rPr>
  </w:style>
  <w:style w:type="paragraph" w:customStyle="1" w:styleId="59">
    <w:name w:val="其他标准称谓"/>
    <w:next w:val="1"/>
    <w:qFormat/>
    <w:uiPriority w:val="0"/>
    <w:pPr>
      <w:spacing w:line="0" w:lineRule="atLeast"/>
      <w:jc w:val="distribute"/>
    </w:pPr>
    <w:rPr>
      <w:rFonts w:ascii="黑体" w:hAnsi="宋体" w:eastAsia="黑体" w:cs="Times New Roman"/>
      <w:spacing w:val="-40"/>
      <w:sz w:val="48"/>
      <w:szCs w:val="52"/>
      <w:lang w:val="en-US" w:eastAsia="zh-CN" w:bidi="ar-SA"/>
    </w:rPr>
  </w:style>
  <w:style w:type="paragraph" w:customStyle="1" w:styleId="60">
    <w:name w:val="Default"/>
    <w:qFormat/>
    <w:uiPriority w:val="0"/>
    <w:pPr>
      <w:widowControl w:val="0"/>
      <w:autoSpaceDE w:val="0"/>
      <w:autoSpaceDN w:val="0"/>
      <w:adjustRightInd w:val="0"/>
    </w:pPr>
    <w:rPr>
      <w:rFonts w:ascii="黑体" w:eastAsia="黑体" w:cs="黑体" w:hAnsiTheme="minorHAnsi"/>
      <w:color w:val="000000"/>
      <w:sz w:val="24"/>
      <w:szCs w:val="24"/>
      <w:lang w:val="en-US" w:eastAsia="zh-CN" w:bidi="ar-SA"/>
    </w:rPr>
  </w:style>
  <w:style w:type="character" w:customStyle="1" w:styleId="61">
    <w:name w:val="标题 1 字符"/>
    <w:basedOn w:val="22"/>
    <w:link w:val="2"/>
    <w:qFormat/>
    <w:uiPriority w:val="9"/>
    <w:rPr>
      <w:b/>
      <w:bCs/>
      <w:kern w:val="44"/>
      <w:sz w:val="44"/>
      <w:szCs w:val="44"/>
    </w:rPr>
  </w:style>
  <w:style w:type="character" w:customStyle="1" w:styleId="62">
    <w:name w:val="标题 2 字符"/>
    <w:basedOn w:val="22"/>
    <w:link w:val="3"/>
    <w:qFormat/>
    <w:uiPriority w:val="9"/>
    <w:rPr>
      <w:rFonts w:asciiTheme="majorHAnsi" w:hAnsiTheme="majorHAnsi" w:eastAsiaTheme="majorEastAsia" w:cstheme="majorBidi"/>
      <w:b/>
      <w:bCs/>
      <w:sz w:val="32"/>
      <w:szCs w:val="32"/>
    </w:rPr>
  </w:style>
  <w:style w:type="paragraph" w:customStyle="1" w:styleId="63">
    <w:name w:val="TOC 标题1"/>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76092" w:themeColor="accent1" w:themeShade="BF"/>
      <w:kern w:val="0"/>
      <w:sz w:val="28"/>
      <w:szCs w:val="28"/>
    </w:rPr>
  </w:style>
  <w:style w:type="character" w:customStyle="1" w:styleId="64">
    <w:name w:val="批注框文本 字符"/>
    <w:basedOn w:val="22"/>
    <w:link w:val="13"/>
    <w:semiHidden/>
    <w:qFormat/>
    <w:uiPriority w:val="99"/>
    <w:rPr>
      <w:sz w:val="18"/>
      <w:szCs w:val="18"/>
    </w:rPr>
  </w:style>
  <w:style w:type="paragraph" w:styleId="65">
    <w:name w:val="List Paragraph"/>
    <w:basedOn w:val="1"/>
    <w:qFormat/>
    <w:uiPriority w:val="99"/>
    <w:pPr>
      <w:ind w:firstLine="420" w:firstLineChars="200"/>
    </w:pPr>
  </w:style>
  <w:style w:type="character" w:customStyle="1" w:styleId="66">
    <w:name w:val="标题 3 字符"/>
    <w:basedOn w:val="22"/>
    <w:link w:val="4"/>
    <w:qFormat/>
    <w:uiPriority w:val="9"/>
    <w:rPr>
      <w:b/>
      <w:bCs/>
      <w:sz w:val="32"/>
      <w:szCs w:val="32"/>
    </w:rPr>
  </w:style>
  <w:style w:type="character" w:customStyle="1" w:styleId="67">
    <w:name w:val="正文文本 字符"/>
    <w:basedOn w:val="22"/>
    <w:link w:val="8"/>
    <w:qFormat/>
    <w:uiPriority w:val="1"/>
    <w:rPr>
      <w:rFonts w:ascii="宋体" w:hAnsi="宋体" w:eastAsia="宋体"/>
      <w:kern w:val="0"/>
      <w:szCs w:val="21"/>
      <w:lang w:eastAsia="en-US"/>
    </w:rPr>
  </w:style>
  <w:style w:type="paragraph" w:customStyle="1" w:styleId="68">
    <w:name w:val="标准书眉_偶数页"/>
    <w:basedOn w:val="43"/>
    <w:next w:val="1"/>
    <w:qFormat/>
    <w:uiPriority w:val="0"/>
    <w:pPr>
      <w:jc w:val="left"/>
    </w:pPr>
  </w:style>
  <w:style w:type="character" w:customStyle="1" w:styleId="69">
    <w:name w:val="日期 字符"/>
    <w:basedOn w:val="22"/>
    <w:link w:val="12"/>
    <w:semiHidden/>
    <w:qFormat/>
    <w:uiPriority w:val="99"/>
  </w:style>
  <w:style w:type="paragraph" w:customStyle="1" w:styleId="70">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71">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character" w:customStyle="1" w:styleId="72">
    <w:name w:val="批注文字 字符"/>
    <w:basedOn w:val="22"/>
    <w:link w:val="6"/>
    <w:qFormat/>
    <w:uiPriority w:val="0"/>
  </w:style>
  <w:style w:type="character" w:customStyle="1" w:styleId="73">
    <w:name w:val="批注主题 字符"/>
    <w:basedOn w:val="72"/>
    <w:link w:val="5"/>
    <w:semiHidden/>
    <w:qFormat/>
    <w:uiPriority w:val="99"/>
    <w:rPr>
      <w:b/>
      <w:bCs/>
    </w:rPr>
  </w:style>
  <w:style w:type="paragraph" w:customStyle="1" w:styleId="74">
    <w:name w:val="条2"/>
    <w:basedOn w:val="1"/>
    <w:next w:val="33"/>
    <w:qFormat/>
    <w:uiPriority w:val="0"/>
    <w:pPr>
      <w:spacing w:beforeLines="50" w:afterLines="50"/>
      <w:outlineLvl w:val="1"/>
    </w:pPr>
    <w:rPr>
      <w:rFonts w:ascii="黑体" w:hAnsi="Times New Roman" w:eastAsia="黑体" w:cs="Times New Roman"/>
      <w:kern w:val="21"/>
      <w:szCs w:val="20"/>
    </w:rPr>
  </w:style>
  <w:style w:type="paragraph" w:customStyle="1" w:styleId="75">
    <w:name w:val="修订1"/>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76">
    <w:name w:val="fontstyle01"/>
    <w:basedOn w:val="22"/>
    <w:qFormat/>
    <w:uiPriority w:val="0"/>
    <w:rPr>
      <w:rFonts w:hint="eastAsia" w:ascii="宋体" w:hAnsi="宋体" w:eastAsia="宋体"/>
      <w:color w:val="000000"/>
      <w:sz w:val="42"/>
      <w:szCs w:val="42"/>
    </w:rPr>
  </w:style>
  <w:style w:type="paragraph" w:customStyle="1" w:styleId="77">
    <w:name w:val="三级条标题"/>
    <w:basedOn w:val="36"/>
    <w:next w:val="1"/>
    <w:qFormat/>
    <w:uiPriority w:val="0"/>
    <w:pPr>
      <w:numPr>
        <w:ilvl w:val="0"/>
        <w:numId w:val="0"/>
      </w:numPr>
      <w:spacing w:beforeLines="50" w:afterLines="50"/>
      <w:outlineLvl w:val="4"/>
    </w:pPr>
  </w:style>
  <w:style w:type="paragraph" w:customStyle="1" w:styleId="78">
    <w:name w:val="四级条标题"/>
    <w:basedOn w:val="77"/>
    <w:next w:val="1"/>
    <w:qFormat/>
    <w:uiPriority w:val="0"/>
    <w:pPr>
      <w:outlineLvl w:val="5"/>
    </w:pPr>
  </w:style>
  <w:style w:type="paragraph" w:customStyle="1" w:styleId="79">
    <w:name w:val="五级条标题"/>
    <w:basedOn w:val="78"/>
    <w:next w:val="1"/>
    <w:qFormat/>
    <w:uiPriority w:val="0"/>
    <w:pPr>
      <w:outlineLvl w:val="6"/>
    </w:pPr>
  </w:style>
  <w:style w:type="paragraph" w:customStyle="1" w:styleId="80">
    <w:name w:val="Table Paragraph"/>
    <w:basedOn w:val="1"/>
    <w:qFormat/>
    <w:uiPriority w:val="1"/>
    <w:pPr>
      <w:spacing w:line="300" w:lineRule="auto"/>
      <w:jc w:val="left"/>
    </w:pPr>
    <w:rPr>
      <w:kern w:val="0"/>
      <w:sz w:val="22"/>
      <w:lang w:eastAsia="en-US"/>
    </w:rPr>
  </w:style>
  <w:style w:type="character" w:customStyle="1" w:styleId="81">
    <w:name w:val="章标题 Char"/>
    <w:link w:val="41"/>
    <w:qFormat/>
    <w:uiPriority w:val="0"/>
    <w:rPr>
      <w:rFonts w:ascii="黑体" w:hAnsi="Times New Roman" w:eastAsia="黑体" w:cs="Times New Roman"/>
      <w:kern w:val="0"/>
      <w:szCs w:val="20"/>
    </w:rPr>
  </w:style>
  <w:style w:type="paragraph" w:customStyle="1" w:styleId="82">
    <w:name w:val="二级无"/>
    <w:basedOn w:val="36"/>
    <w:qFormat/>
    <w:uiPriority w:val="0"/>
    <w:pPr>
      <w:numPr>
        <w:numId w:val="2"/>
      </w:numPr>
    </w:pPr>
    <w:rPr>
      <w:rFonts w:ascii="宋体" w:eastAsia="宋体"/>
    </w:rPr>
  </w:style>
  <w:style w:type="paragraph" w:customStyle="1" w:styleId="83">
    <w:name w:val="发布部门"/>
    <w:next w:val="1"/>
    <w:qFormat/>
    <w:uiPriority w:val="0"/>
    <w:pPr>
      <w:framePr w:w="7433" w:h="585" w:hRule="exact" w:hSpace="180" w:vSpace="180" w:wrap="around" w:vAnchor="margin" w:hAnchor="margin" w:xAlign="center" w:y="14401" w:anchorLock="1"/>
      <w:jc w:val="center"/>
    </w:pPr>
    <w:rPr>
      <w:rFonts w:ascii="宋体" w:hAnsi="Times New Roman" w:eastAsia="宋体" w:cs="Times New Roman"/>
      <w:b/>
      <w:spacing w:val="20"/>
      <w:w w:val="135"/>
      <w:sz w:val="36"/>
      <w:lang w:val="en-US" w:eastAsia="zh-CN" w:bidi="ar-SA"/>
    </w:rPr>
  </w:style>
  <w:style w:type="paragraph" w:customStyle="1" w:styleId="84">
    <w:name w:val="示例内容"/>
    <w:qFormat/>
    <w:uiPriority w:val="0"/>
    <w:pPr>
      <w:ind w:firstLine="200" w:firstLineChars="200"/>
    </w:pPr>
    <w:rPr>
      <w:rFonts w:ascii="宋体" w:hAnsi="Times New Roman" w:eastAsia="宋体" w:cs="Times New Roman"/>
      <w:sz w:val="18"/>
      <w:szCs w:val="18"/>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2" Type="http://schemas.openxmlformats.org/officeDocument/2006/relationships/fontTable" Target="fontTable.xml"/><Relationship Id="rId21" Type="http://schemas.openxmlformats.org/officeDocument/2006/relationships/customXml" Target="../customXml/item2.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1F58455-53AE-4886-9D99-CC4DC38AC977}">
  <ds:schemaRefs/>
</ds:datastoreItem>
</file>

<file path=docProps/app.xml><?xml version="1.0" encoding="utf-8"?>
<Properties xmlns="http://schemas.openxmlformats.org/officeDocument/2006/extended-properties" xmlns:vt="http://schemas.openxmlformats.org/officeDocument/2006/docPropsVTypes">
  <Template>Normal.dotm</Template>
  <Company>P R C</Company>
  <Pages>7</Pages>
  <Words>596</Words>
  <Characters>3398</Characters>
  <Lines>28</Lines>
  <Paragraphs>7</Paragraphs>
  <TotalTime>27</TotalTime>
  <ScaleCrop>false</ScaleCrop>
  <LinksUpToDate>false</LinksUpToDate>
  <CharactersWithSpaces>3987</CharactersWithSpaces>
  <Application>WPS Office_10.8.2.7119_F1E327BC-269C-435d-A152-05C5408002CA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2023-10-05T08:03:00Z</dcterms:created>
  <dc:creator>Lenovo</dc:creator>
  <cp:lastModifiedBy>QC</cp:lastModifiedBy>
  <cp:lastPrinted>2019-02-12T09:03:00Z</cp:lastPrinted>
  <dcterms:modified xsi:type="dcterms:W3CDTF">2024-08-14T11:17:31Z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2052-10.8.2.7119</vt:lpwstr>
  </property>
  <property fmtid="{D5CDD505-2E9C-101B-9397-08002B2CF9AE}" pid="3" name="ICV">
    <vt:lpwstr>EEABF6A17A2C47C898B030DED8DE2157</vt:lpwstr>
  </property>
</Properties>
</file>