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70430" w14:textId="77777777" w:rsidR="00BB483B" w:rsidRPr="007C6A51" w:rsidRDefault="00BB483B">
      <w:pPr>
        <w:jc w:val="center"/>
      </w:pPr>
    </w:p>
    <w:p w14:paraId="7D487349" w14:textId="77777777" w:rsidR="00BB483B" w:rsidRPr="007C6A51" w:rsidRDefault="00BB483B">
      <w:pPr>
        <w:jc w:val="center"/>
      </w:pPr>
    </w:p>
    <w:p w14:paraId="5F7BAD28" w14:textId="77777777" w:rsidR="00BB483B" w:rsidRPr="007C6A51" w:rsidRDefault="00BB483B">
      <w:pPr>
        <w:jc w:val="center"/>
      </w:pPr>
    </w:p>
    <w:p w14:paraId="26AEB844" w14:textId="77777777" w:rsidR="00BB483B" w:rsidRPr="007C6A51" w:rsidRDefault="00BB483B">
      <w:pPr>
        <w:jc w:val="center"/>
      </w:pPr>
    </w:p>
    <w:p w14:paraId="17DFCF4A" w14:textId="77777777" w:rsidR="00BB483B" w:rsidRPr="007C6A51" w:rsidRDefault="00BB483B">
      <w:pPr>
        <w:jc w:val="center"/>
      </w:pPr>
    </w:p>
    <w:p w14:paraId="00200169" w14:textId="77777777" w:rsidR="00BB483B" w:rsidRPr="007C6A51" w:rsidRDefault="00BB483B">
      <w:pPr>
        <w:jc w:val="center"/>
      </w:pPr>
    </w:p>
    <w:p w14:paraId="66E2BD1C" w14:textId="77777777" w:rsidR="00BB483B" w:rsidRPr="007C6A51" w:rsidRDefault="00BB483B">
      <w:pPr>
        <w:jc w:val="center"/>
      </w:pPr>
    </w:p>
    <w:p w14:paraId="237DBC35" w14:textId="77777777" w:rsidR="00BB483B" w:rsidRPr="007C6A51" w:rsidRDefault="00BB483B">
      <w:pPr>
        <w:jc w:val="center"/>
      </w:pPr>
    </w:p>
    <w:p w14:paraId="29AA07BC" w14:textId="633BC8E4" w:rsidR="001838F1" w:rsidRPr="007C6A51" w:rsidRDefault="0041409D">
      <w:pPr>
        <w:jc w:val="center"/>
        <w:rPr>
          <w:b/>
          <w:bCs/>
          <w:sz w:val="32"/>
          <w:szCs w:val="32"/>
        </w:rPr>
      </w:pPr>
      <w:bookmarkStart w:id="0" w:name="OLE_LINK1"/>
      <w:bookmarkStart w:id="1" w:name="OLE_LINK2"/>
      <w:r w:rsidRPr="007C6A51">
        <w:rPr>
          <w:rFonts w:hint="eastAsia"/>
          <w:b/>
          <w:bCs/>
          <w:sz w:val="32"/>
          <w:szCs w:val="32"/>
        </w:rPr>
        <w:t>《</w:t>
      </w:r>
      <w:r w:rsidR="00A45E6A" w:rsidRPr="007C6A51">
        <w:rPr>
          <w:rFonts w:hint="eastAsia"/>
          <w:b/>
          <w:bCs/>
          <w:sz w:val="32"/>
          <w:szCs w:val="32"/>
        </w:rPr>
        <w:t>质量分级及“领跑者”评价要求</w:t>
      </w:r>
      <w:r w:rsidR="001838F1" w:rsidRPr="007C6A51">
        <w:rPr>
          <w:rFonts w:hint="eastAsia"/>
          <w:b/>
          <w:bCs/>
          <w:sz w:val="32"/>
          <w:szCs w:val="32"/>
        </w:rPr>
        <w:t xml:space="preserve"> </w:t>
      </w:r>
      <w:r w:rsidR="00AC6C44" w:rsidRPr="007C6A51">
        <w:rPr>
          <w:rFonts w:hint="eastAsia"/>
          <w:b/>
          <w:bCs/>
          <w:sz w:val="32"/>
          <w:szCs w:val="32"/>
        </w:rPr>
        <w:t>家居用缓冲型抽屉导轨</w:t>
      </w:r>
      <w:r w:rsidRPr="007C6A51">
        <w:rPr>
          <w:rFonts w:hint="eastAsia"/>
          <w:b/>
          <w:bCs/>
          <w:sz w:val="32"/>
          <w:szCs w:val="32"/>
        </w:rPr>
        <w:t>》</w:t>
      </w:r>
    </w:p>
    <w:p w14:paraId="7AF77FE6" w14:textId="3E3EFB73" w:rsidR="00BB483B" w:rsidRPr="007C6A51" w:rsidRDefault="009211A1">
      <w:pPr>
        <w:jc w:val="center"/>
        <w:rPr>
          <w:b/>
          <w:bCs/>
          <w:sz w:val="32"/>
          <w:szCs w:val="32"/>
        </w:rPr>
      </w:pPr>
      <w:r w:rsidRPr="007C6A51">
        <w:rPr>
          <w:rFonts w:hint="eastAsia"/>
          <w:b/>
          <w:bCs/>
          <w:sz w:val="32"/>
          <w:szCs w:val="32"/>
        </w:rPr>
        <w:t>团体标准编制说明</w:t>
      </w:r>
      <w:bookmarkEnd w:id="0"/>
      <w:bookmarkEnd w:id="1"/>
    </w:p>
    <w:p w14:paraId="11413230" w14:textId="0D63A42F" w:rsidR="004478DF" w:rsidRPr="007C6A51" w:rsidRDefault="004478DF">
      <w:pPr>
        <w:jc w:val="center"/>
        <w:rPr>
          <w:b/>
          <w:bCs/>
          <w:sz w:val="32"/>
          <w:szCs w:val="32"/>
        </w:rPr>
      </w:pPr>
      <w:r w:rsidRPr="007C6A51">
        <w:rPr>
          <w:rFonts w:hint="eastAsia"/>
          <w:b/>
          <w:bCs/>
          <w:sz w:val="32"/>
          <w:szCs w:val="32"/>
        </w:rPr>
        <w:t>（</w:t>
      </w:r>
      <w:r w:rsidR="000970E8" w:rsidRPr="007C6A51">
        <w:rPr>
          <w:rFonts w:hint="eastAsia"/>
          <w:b/>
          <w:bCs/>
          <w:sz w:val="32"/>
          <w:szCs w:val="32"/>
        </w:rPr>
        <w:t>征求意见</w:t>
      </w:r>
      <w:r w:rsidRPr="007C6A51">
        <w:rPr>
          <w:rFonts w:hint="eastAsia"/>
          <w:b/>
          <w:bCs/>
          <w:sz w:val="32"/>
          <w:szCs w:val="32"/>
        </w:rPr>
        <w:t>稿）</w:t>
      </w:r>
    </w:p>
    <w:p w14:paraId="03F29B23" w14:textId="77777777" w:rsidR="00BB483B" w:rsidRPr="007C6A51" w:rsidRDefault="00BB483B"/>
    <w:p w14:paraId="0D363581" w14:textId="77777777" w:rsidR="00BB483B" w:rsidRPr="007C6A51" w:rsidRDefault="00BB483B"/>
    <w:p w14:paraId="73AF5AA5" w14:textId="77777777" w:rsidR="00BB483B" w:rsidRPr="007C6A51" w:rsidRDefault="00BB483B"/>
    <w:p w14:paraId="29356268" w14:textId="77777777" w:rsidR="00BB483B" w:rsidRPr="007C6A51" w:rsidRDefault="00BB483B"/>
    <w:p w14:paraId="000CEA01" w14:textId="77777777" w:rsidR="00BB483B" w:rsidRPr="007C6A51" w:rsidRDefault="00BB483B"/>
    <w:p w14:paraId="0A79E103" w14:textId="77777777" w:rsidR="00BB483B" w:rsidRPr="007C6A51" w:rsidRDefault="00BB483B"/>
    <w:p w14:paraId="00B9EFDC" w14:textId="77777777" w:rsidR="00BB483B" w:rsidRPr="007C6A51" w:rsidRDefault="00BB483B"/>
    <w:p w14:paraId="78337BCA" w14:textId="77777777" w:rsidR="0041409D" w:rsidRPr="007C6A51" w:rsidRDefault="0041409D"/>
    <w:p w14:paraId="6A20FD38" w14:textId="77777777" w:rsidR="00BB483B" w:rsidRPr="007C6A51" w:rsidRDefault="00BB483B">
      <w:pPr>
        <w:jc w:val="center"/>
        <w:rPr>
          <w:szCs w:val="28"/>
        </w:rPr>
      </w:pPr>
    </w:p>
    <w:p w14:paraId="0E9F44DC" w14:textId="088A94EB" w:rsidR="00BB483B" w:rsidRPr="007C6A51" w:rsidRDefault="004A3F7D">
      <w:pPr>
        <w:jc w:val="center"/>
        <w:rPr>
          <w:szCs w:val="28"/>
        </w:rPr>
      </w:pPr>
      <w:r w:rsidRPr="007C6A51">
        <w:rPr>
          <w:rFonts w:hint="eastAsia"/>
          <w:szCs w:val="28"/>
        </w:rPr>
        <w:t>二零二</w:t>
      </w:r>
      <w:r w:rsidR="000970E8" w:rsidRPr="007C6A51">
        <w:rPr>
          <w:rFonts w:hint="eastAsia"/>
          <w:szCs w:val="28"/>
        </w:rPr>
        <w:t>四</w:t>
      </w:r>
      <w:r w:rsidR="009211A1" w:rsidRPr="007C6A51">
        <w:rPr>
          <w:rFonts w:hint="eastAsia"/>
          <w:szCs w:val="28"/>
        </w:rPr>
        <w:t>年</w:t>
      </w:r>
      <w:r w:rsidR="000E33FA" w:rsidRPr="007C6A51">
        <w:rPr>
          <w:rFonts w:hint="eastAsia"/>
          <w:szCs w:val="28"/>
        </w:rPr>
        <w:t>八</w:t>
      </w:r>
      <w:r w:rsidR="009211A1" w:rsidRPr="007C6A51">
        <w:rPr>
          <w:rFonts w:hint="eastAsia"/>
          <w:szCs w:val="28"/>
        </w:rPr>
        <w:t>月</w:t>
      </w:r>
    </w:p>
    <w:p w14:paraId="0F215489" w14:textId="77777777" w:rsidR="00BB483B" w:rsidRPr="007C6A51" w:rsidRDefault="00BB483B">
      <w:pPr>
        <w:jc w:val="center"/>
        <w:rPr>
          <w:szCs w:val="28"/>
        </w:rPr>
        <w:sectPr w:rsidR="00BB483B" w:rsidRPr="007C6A51">
          <w:footerReference w:type="default" r:id="rId9"/>
          <w:pgSz w:w="11906" w:h="16838"/>
          <w:pgMar w:top="1440" w:right="1800" w:bottom="1440" w:left="1800" w:header="851" w:footer="992" w:gutter="0"/>
          <w:cols w:space="425"/>
          <w:docGrid w:type="lines" w:linePitch="312"/>
        </w:sectPr>
      </w:pPr>
    </w:p>
    <w:p w14:paraId="0CB4D07B" w14:textId="24AC8BA8" w:rsidR="00F5647A" w:rsidRPr="007C6A51" w:rsidRDefault="0041409D" w:rsidP="00F5647A">
      <w:pPr>
        <w:pStyle w:val="af2"/>
      </w:pPr>
      <w:r w:rsidRPr="007C6A51">
        <w:rPr>
          <w:rFonts w:hint="eastAsia"/>
        </w:rPr>
        <w:lastRenderedPageBreak/>
        <w:t>《</w:t>
      </w:r>
      <w:r w:rsidR="000970E8" w:rsidRPr="007C6A51">
        <w:rPr>
          <w:rFonts w:hint="eastAsia"/>
        </w:rPr>
        <w:t>质量分级及</w:t>
      </w:r>
      <w:r w:rsidRPr="007C6A51">
        <w:rPr>
          <w:rFonts w:hint="eastAsia"/>
        </w:rPr>
        <w:t>"</w:t>
      </w:r>
      <w:r w:rsidRPr="007C6A51">
        <w:rPr>
          <w:rFonts w:hint="eastAsia"/>
        </w:rPr>
        <w:t>领跑者</w:t>
      </w:r>
      <w:r w:rsidRPr="007C6A51">
        <w:rPr>
          <w:rFonts w:hint="eastAsia"/>
        </w:rPr>
        <w:t>"</w:t>
      </w:r>
      <w:r w:rsidRPr="007C6A51">
        <w:rPr>
          <w:rFonts w:hint="eastAsia"/>
        </w:rPr>
        <w:t>评价要求</w:t>
      </w:r>
      <w:r w:rsidRPr="007C6A51">
        <w:rPr>
          <w:rFonts w:hint="eastAsia"/>
        </w:rPr>
        <w:t xml:space="preserve"> </w:t>
      </w:r>
      <w:r w:rsidR="00AC6C44" w:rsidRPr="007C6A51">
        <w:rPr>
          <w:rFonts w:hint="eastAsia"/>
        </w:rPr>
        <w:t>家居用缓冲型抽屉导轨</w:t>
      </w:r>
      <w:r w:rsidRPr="007C6A51">
        <w:rPr>
          <w:rFonts w:hint="eastAsia"/>
        </w:rPr>
        <w:t>》</w:t>
      </w:r>
    </w:p>
    <w:p w14:paraId="0FAEC7D1" w14:textId="77777777" w:rsidR="00BB483B" w:rsidRPr="007C6A51" w:rsidRDefault="009211A1" w:rsidP="00F5647A">
      <w:pPr>
        <w:pStyle w:val="af2"/>
      </w:pPr>
      <w:r w:rsidRPr="007C6A51">
        <w:rPr>
          <w:rFonts w:hint="eastAsia"/>
        </w:rPr>
        <w:t>团体标准编制说明</w:t>
      </w:r>
    </w:p>
    <w:p w14:paraId="3F345B31" w14:textId="77777777" w:rsidR="007616DE" w:rsidRPr="007C6A51" w:rsidRDefault="0041409D" w:rsidP="0041409D">
      <w:pPr>
        <w:pStyle w:val="ae"/>
        <w:spacing w:before="312" w:after="312"/>
      </w:pPr>
      <w:r w:rsidRPr="007C6A51">
        <w:rPr>
          <w:rFonts w:hint="eastAsia"/>
        </w:rPr>
        <w:t>一、</w:t>
      </w:r>
      <w:r w:rsidR="009211A1" w:rsidRPr="007C6A51">
        <w:rPr>
          <w:rFonts w:hint="eastAsia"/>
        </w:rPr>
        <w:t>任务来源</w:t>
      </w:r>
    </w:p>
    <w:p w14:paraId="569B3E77" w14:textId="20E5E5A5" w:rsidR="0041409D" w:rsidRPr="007C6A51" w:rsidRDefault="0041409D" w:rsidP="0041409D">
      <w:pPr>
        <w:ind w:firstLineChars="200" w:firstLine="560"/>
      </w:pPr>
      <w:r w:rsidRPr="007C6A51">
        <w:rPr>
          <w:rFonts w:hint="eastAsia"/>
        </w:rPr>
        <w:t>2018</w:t>
      </w:r>
      <w:r w:rsidRPr="007C6A51">
        <w:rPr>
          <w:rFonts w:hint="eastAsia"/>
        </w:rPr>
        <w:t>年，市场监管总局等八部门提出关于实施企业标准“领跑者”的制度意见，正式开展企标领跑者评估活动。经过近几年的实践，领跑者制度取得了一定成效，但也暴露出一些问题，例如企标水平参差不齐，评估方案制定时间短，不能很好体现行业领先水平等问题。为了使评估方案的制定更加科学严谨，企业标准“领跑者”联盟提出了先制定《“领跑者“标准评价要求》团体标准，一</w:t>
      </w:r>
      <w:r w:rsidR="00F5647A" w:rsidRPr="007C6A51">
        <w:rPr>
          <w:rFonts w:hint="eastAsia"/>
        </w:rPr>
        <w:t>是</w:t>
      </w:r>
      <w:r w:rsidRPr="007C6A51">
        <w:rPr>
          <w:rFonts w:hint="eastAsia"/>
        </w:rPr>
        <w:t>可以使企业有标准可以借鉴；二</w:t>
      </w:r>
      <w:r w:rsidR="00F5647A" w:rsidRPr="007C6A51">
        <w:rPr>
          <w:rFonts w:hint="eastAsia"/>
        </w:rPr>
        <w:t>是</w:t>
      </w:r>
      <w:r w:rsidRPr="007C6A51">
        <w:rPr>
          <w:rFonts w:hint="eastAsia"/>
        </w:rPr>
        <w:t>可以在制定标准的过程中，广泛征集行业内意见，保障方评估机构依据标准制定评估方案时，评估方案得质量得到保障。</w:t>
      </w:r>
    </w:p>
    <w:p w14:paraId="1CB84901" w14:textId="7EAFFC8D" w:rsidR="0041409D" w:rsidRPr="007C6A51" w:rsidRDefault="0041409D" w:rsidP="0041409D">
      <w:pPr>
        <w:ind w:firstLineChars="200" w:firstLine="560"/>
      </w:pPr>
      <w:r w:rsidRPr="007C6A51">
        <w:rPr>
          <w:rFonts w:hint="eastAsia"/>
        </w:rPr>
        <w:t>202</w:t>
      </w:r>
      <w:r w:rsidR="000E33FA" w:rsidRPr="007C6A51">
        <w:rPr>
          <w:rFonts w:hint="eastAsia"/>
        </w:rPr>
        <w:t>4</w:t>
      </w:r>
      <w:r w:rsidRPr="007C6A51">
        <w:rPr>
          <w:rFonts w:hint="eastAsia"/>
        </w:rPr>
        <w:t>年</w:t>
      </w:r>
      <w:r w:rsidR="000E33FA" w:rsidRPr="007C6A51">
        <w:rPr>
          <w:rFonts w:hint="eastAsia"/>
        </w:rPr>
        <w:t>6</w:t>
      </w:r>
      <w:r w:rsidR="00A45E6A" w:rsidRPr="007C6A51">
        <w:rPr>
          <w:rFonts w:hint="eastAsia"/>
        </w:rPr>
        <w:t>月</w:t>
      </w:r>
      <w:r w:rsidRPr="007C6A51">
        <w:rPr>
          <w:rFonts w:hint="eastAsia"/>
        </w:rPr>
        <w:t>市场监管总局印发了</w:t>
      </w:r>
      <w:r w:rsidR="000E33FA" w:rsidRPr="007C6A51">
        <w:rPr>
          <w:rFonts w:hint="eastAsia"/>
        </w:rPr>
        <w:t>市场监管总局关于发布《</w:t>
      </w:r>
      <w:r w:rsidR="000E33FA" w:rsidRPr="007C6A51">
        <w:rPr>
          <w:rFonts w:hint="eastAsia"/>
        </w:rPr>
        <w:t>2024</w:t>
      </w:r>
      <w:r w:rsidR="000E33FA" w:rsidRPr="007C6A51">
        <w:rPr>
          <w:rFonts w:hint="eastAsia"/>
        </w:rPr>
        <w:t>年度实施企业标准“领跑者”重点领域》的公告</w:t>
      </w:r>
      <w:r w:rsidR="00A45E6A" w:rsidRPr="007C6A51">
        <w:rPr>
          <w:rFonts w:hint="eastAsia"/>
        </w:rPr>
        <w:t>（</w:t>
      </w:r>
      <w:r w:rsidR="000E33FA" w:rsidRPr="007C6A51">
        <w:rPr>
          <w:rFonts w:hint="eastAsia"/>
        </w:rPr>
        <w:t>2024</w:t>
      </w:r>
      <w:r w:rsidR="000E33FA" w:rsidRPr="007C6A51">
        <w:rPr>
          <w:rFonts w:hint="eastAsia"/>
        </w:rPr>
        <w:t>年第</w:t>
      </w:r>
      <w:r w:rsidR="000E33FA" w:rsidRPr="007C6A51">
        <w:rPr>
          <w:rFonts w:hint="eastAsia"/>
        </w:rPr>
        <w:t>24</w:t>
      </w:r>
      <w:r w:rsidR="000E33FA" w:rsidRPr="007C6A51">
        <w:rPr>
          <w:rFonts w:hint="eastAsia"/>
        </w:rPr>
        <w:t>号</w:t>
      </w:r>
      <w:r w:rsidR="00A45E6A" w:rsidRPr="007C6A51">
        <w:rPr>
          <w:rFonts w:hint="eastAsia"/>
        </w:rPr>
        <w:t>）</w:t>
      </w:r>
      <w:r w:rsidRPr="007C6A51">
        <w:rPr>
          <w:rFonts w:hint="eastAsia"/>
        </w:rPr>
        <w:t>，中国五金制品协会依据</w:t>
      </w:r>
      <w:r w:rsidRPr="007C6A51">
        <w:rPr>
          <w:rFonts w:hint="eastAsia"/>
        </w:rPr>
        <w:t>2</w:t>
      </w:r>
      <w:r w:rsidR="009E6196" w:rsidRPr="007C6A51">
        <w:rPr>
          <w:rFonts w:hint="eastAsia"/>
        </w:rPr>
        <w:t>4</w:t>
      </w:r>
      <w:r w:rsidRPr="007C6A51">
        <w:rPr>
          <w:rFonts w:hint="eastAsia"/>
        </w:rPr>
        <w:t>年重点领域申报的《</w:t>
      </w:r>
      <w:r w:rsidR="00A45E6A" w:rsidRPr="007C6A51">
        <w:rPr>
          <w:rFonts w:hint="eastAsia"/>
        </w:rPr>
        <w:t>质量分级及“领跑者”评价要求</w:t>
      </w:r>
      <w:r w:rsidR="00A45E6A" w:rsidRPr="007C6A51">
        <w:rPr>
          <w:rFonts w:hint="eastAsia"/>
        </w:rPr>
        <w:t xml:space="preserve"> </w:t>
      </w:r>
      <w:r w:rsidR="00AC6C44" w:rsidRPr="007C6A51">
        <w:rPr>
          <w:rFonts w:hint="eastAsia"/>
        </w:rPr>
        <w:t>家居用缓冲型抽屉导轨</w:t>
      </w:r>
      <w:r w:rsidRPr="007C6A51">
        <w:rPr>
          <w:rFonts w:hint="eastAsia"/>
        </w:rPr>
        <w:t>》团体标准项目立项</w:t>
      </w:r>
      <w:r w:rsidR="00FA73BF" w:rsidRPr="007C6A51">
        <w:rPr>
          <w:rFonts w:hint="eastAsia"/>
        </w:rPr>
        <w:t>。</w:t>
      </w:r>
    </w:p>
    <w:p w14:paraId="64D562CF" w14:textId="729909C9" w:rsidR="00A20E7B" w:rsidRPr="007C6A51" w:rsidRDefault="00A20E7B" w:rsidP="0041409D">
      <w:pPr>
        <w:ind w:firstLineChars="200" w:firstLine="560"/>
      </w:pPr>
      <w:r w:rsidRPr="007C6A51">
        <w:rPr>
          <w:rFonts w:hint="eastAsia"/>
        </w:rPr>
        <w:t>经研究，决定由</w:t>
      </w:r>
      <w:r w:rsidR="00494689" w:rsidRPr="007C6A51">
        <w:rPr>
          <w:rFonts w:hint="eastAsia"/>
        </w:rPr>
        <w:t>广东</w:t>
      </w:r>
      <w:r w:rsidR="001F65D6" w:rsidRPr="007C6A51">
        <w:rPr>
          <w:rFonts w:hint="eastAsia"/>
        </w:rPr>
        <w:t>东泰五金精密</w:t>
      </w:r>
      <w:r w:rsidR="00494689" w:rsidRPr="007C6A51">
        <w:rPr>
          <w:rFonts w:hint="eastAsia"/>
        </w:rPr>
        <w:t>制造有限公司</w:t>
      </w:r>
      <w:r w:rsidRPr="007C6A51">
        <w:rPr>
          <w:rFonts w:hint="eastAsia"/>
        </w:rPr>
        <w:t>担任《</w:t>
      </w:r>
      <w:r w:rsidR="00A45E6A" w:rsidRPr="007C6A51">
        <w:rPr>
          <w:rFonts w:hint="eastAsia"/>
        </w:rPr>
        <w:t>质量分级及“领跑者”评价要求</w:t>
      </w:r>
      <w:r w:rsidR="00A45E6A" w:rsidRPr="007C6A51">
        <w:rPr>
          <w:rFonts w:hint="eastAsia"/>
        </w:rPr>
        <w:t xml:space="preserve"> </w:t>
      </w:r>
      <w:r w:rsidR="00AC6C44" w:rsidRPr="007C6A51">
        <w:rPr>
          <w:rFonts w:hint="eastAsia"/>
        </w:rPr>
        <w:t>家居用缓冲型抽屉导轨</w:t>
      </w:r>
      <w:r w:rsidRPr="007C6A51">
        <w:rPr>
          <w:rFonts w:hint="eastAsia"/>
        </w:rPr>
        <w:t>》的主要起草单位，负责标准草案起草工作。</w:t>
      </w:r>
    </w:p>
    <w:p w14:paraId="693C88EC" w14:textId="77777777" w:rsidR="00BB483B" w:rsidRPr="007C6A51" w:rsidRDefault="0041409D" w:rsidP="0041409D">
      <w:pPr>
        <w:pStyle w:val="ae"/>
        <w:spacing w:before="312" w:after="312"/>
      </w:pPr>
      <w:r w:rsidRPr="007C6A51">
        <w:rPr>
          <w:rFonts w:hint="eastAsia"/>
        </w:rPr>
        <w:t>二、</w:t>
      </w:r>
      <w:r w:rsidR="009211A1" w:rsidRPr="007C6A51">
        <w:rPr>
          <w:rFonts w:hint="eastAsia"/>
        </w:rPr>
        <w:t>本标准制定的目的和意义</w:t>
      </w:r>
    </w:p>
    <w:p w14:paraId="525DAAE3" w14:textId="77777777" w:rsidR="0041409D" w:rsidRPr="007C6A51" w:rsidRDefault="00305EBD" w:rsidP="0041409D">
      <w:r w:rsidRPr="007C6A51">
        <w:rPr>
          <w:rFonts w:hint="eastAsia"/>
        </w:rPr>
        <w:lastRenderedPageBreak/>
        <w:t xml:space="preserve">   </w:t>
      </w:r>
      <w:r w:rsidR="0041409D" w:rsidRPr="007C6A51">
        <w:rPr>
          <w:rFonts w:hint="eastAsia"/>
        </w:rPr>
        <w:t>为落实《市场监管总局等八部门提出关于实施企业标准“领跑者”制度的意见》（国</w:t>
      </w:r>
      <w:proofErr w:type="gramStart"/>
      <w:r w:rsidR="0041409D" w:rsidRPr="007C6A51">
        <w:rPr>
          <w:rFonts w:hint="eastAsia"/>
        </w:rPr>
        <w:t>市监标准</w:t>
      </w:r>
      <w:proofErr w:type="gramEnd"/>
      <w:r w:rsidR="0041409D" w:rsidRPr="007C6A51">
        <w:rPr>
          <w:rFonts w:hint="eastAsia"/>
        </w:rPr>
        <w:t>[2018]84</w:t>
      </w:r>
      <w:r w:rsidR="0041409D" w:rsidRPr="007C6A51">
        <w:rPr>
          <w:rFonts w:hint="eastAsia"/>
        </w:rPr>
        <w:t>号）文件要求，保障企业标准评估工作的顺利进行，特制</w:t>
      </w:r>
      <w:proofErr w:type="gramStart"/>
      <w:r w:rsidR="0041409D" w:rsidRPr="007C6A51">
        <w:rPr>
          <w:rFonts w:hint="eastAsia"/>
        </w:rPr>
        <w:t>定此团体</w:t>
      </w:r>
      <w:proofErr w:type="gramEnd"/>
      <w:r w:rsidR="0041409D" w:rsidRPr="007C6A51">
        <w:rPr>
          <w:rFonts w:hint="eastAsia"/>
        </w:rPr>
        <w:t>标准作为评估考核依据。</w:t>
      </w:r>
    </w:p>
    <w:p w14:paraId="6E71A88B" w14:textId="213FADEF" w:rsidR="00A20E7B" w:rsidRPr="007C6A51" w:rsidRDefault="00AB07AA" w:rsidP="0041409D">
      <w:pPr>
        <w:ind w:firstLineChars="200" w:firstLine="560"/>
      </w:pPr>
      <w:r w:rsidRPr="007C6A51">
        <w:rPr>
          <w:rFonts w:hint="eastAsia"/>
        </w:rPr>
        <w:t>《</w:t>
      </w:r>
      <w:r w:rsidR="00A45E6A" w:rsidRPr="007C6A51">
        <w:rPr>
          <w:rFonts w:hint="eastAsia"/>
        </w:rPr>
        <w:t>质量分级及“领跑者”评价要求</w:t>
      </w:r>
      <w:r w:rsidR="00A45E6A" w:rsidRPr="007C6A51">
        <w:rPr>
          <w:rFonts w:hint="eastAsia"/>
        </w:rPr>
        <w:t xml:space="preserve"> </w:t>
      </w:r>
      <w:r w:rsidR="00AC6C44" w:rsidRPr="007C6A51">
        <w:rPr>
          <w:rFonts w:hint="eastAsia"/>
        </w:rPr>
        <w:t>家居用缓冲型抽屉导轨</w:t>
      </w:r>
      <w:r w:rsidRPr="007C6A51">
        <w:rPr>
          <w:rFonts w:hint="eastAsia"/>
        </w:rPr>
        <w:t>》</w:t>
      </w:r>
      <w:r w:rsidR="00A20E7B" w:rsidRPr="007C6A51">
        <w:rPr>
          <w:rFonts w:hint="eastAsia"/>
        </w:rPr>
        <w:t>标准的制定，一方面可以引领企业制定高水平的企业标准，生产中高端产品</w:t>
      </w:r>
      <w:r w:rsidR="00C34A2C" w:rsidRPr="007C6A51">
        <w:rPr>
          <w:rFonts w:hint="eastAsia"/>
        </w:rPr>
        <w:t>。</w:t>
      </w:r>
      <w:r w:rsidR="00A20E7B" w:rsidRPr="007C6A51">
        <w:rPr>
          <w:rFonts w:hint="eastAsia"/>
        </w:rPr>
        <w:t>对推动</w:t>
      </w:r>
      <w:r w:rsidR="00AC6C44" w:rsidRPr="007C6A51">
        <w:rPr>
          <w:rFonts w:hint="eastAsia"/>
        </w:rPr>
        <w:t>家居用缓冲型抽屉导轨</w:t>
      </w:r>
      <w:r w:rsidR="00A20E7B" w:rsidRPr="007C6A51">
        <w:rPr>
          <w:rFonts w:hint="eastAsia"/>
        </w:rPr>
        <w:t>产业供给侧结构性改革和</w:t>
      </w:r>
      <w:r w:rsidR="00494689" w:rsidRPr="007C6A51">
        <w:rPr>
          <w:rFonts w:hint="eastAsia"/>
        </w:rPr>
        <w:t>提升企业</w:t>
      </w:r>
      <w:r w:rsidR="00A20E7B" w:rsidRPr="007C6A51">
        <w:rPr>
          <w:rFonts w:hint="eastAsia"/>
        </w:rPr>
        <w:t>创新能力具有重要作用。另一方面可以使评估机构依据本标准制定评估方案</w:t>
      </w:r>
      <w:r w:rsidR="0004796E" w:rsidRPr="007C6A51">
        <w:rPr>
          <w:rFonts w:ascii="宋体" w:hAnsi="宋体" w:hint="eastAsia"/>
          <w:sz w:val="24"/>
          <w:szCs w:val="24"/>
        </w:rPr>
        <w:t>，</w:t>
      </w:r>
      <w:bookmarkStart w:id="2" w:name="_Hlk76325678"/>
      <w:r w:rsidR="0004796E" w:rsidRPr="007C6A51">
        <w:rPr>
          <w:rFonts w:hint="eastAsia"/>
        </w:rPr>
        <w:t>使评估方案的制定有标可依，更加科学、严谨</w:t>
      </w:r>
      <w:bookmarkEnd w:id="2"/>
      <w:r w:rsidR="00A20E7B" w:rsidRPr="007C6A51">
        <w:rPr>
          <w:rFonts w:hint="eastAsia"/>
        </w:rPr>
        <w:t>。</w:t>
      </w:r>
    </w:p>
    <w:p w14:paraId="195BD3C9" w14:textId="77777777" w:rsidR="00BB483B" w:rsidRPr="007C6A51" w:rsidRDefault="009211A1" w:rsidP="0041409D">
      <w:pPr>
        <w:pStyle w:val="ae"/>
        <w:spacing w:before="312" w:after="312"/>
      </w:pPr>
      <w:r w:rsidRPr="007C6A51">
        <w:rPr>
          <w:rFonts w:hint="eastAsia"/>
        </w:rPr>
        <w:t>三、标准编制的原则和主要内容的确定</w:t>
      </w:r>
    </w:p>
    <w:p w14:paraId="72D88016" w14:textId="77777777" w:rsidR="00BB483B" w:rsidRPr="007C6A51" w:rsidRDefault="00B83881" w:rsidP="00C544D3">
      <w:pPr>
        <w:spacing w:beforeLines="100" w:before="312" w:line="360" w:lineRule="auto"/>
        <w:jc w:val="left"/>
        <w:rPr>
          <w:rFonts w:ascii="宋体" w:eastAsia="宋体" w:hAnsi="宋体" w:hint="eastAsia"/>
          <w:b/>
          <w:bCs/>
          <w:szCs w:val="28"/>
        </w:rPr>
      </w:pPr>
      <w:r w:rsidRPr="007C6A51">
        <w:rPr>
          <w:rFonts w:ascii="宋体" w:eastAsia="宋体" w:hAnsi="宋体" w:hint="eastAsia"/>
          <w:b/>
          <w:bCs/>
          <w:szCs w:val="28"/>
        </w:rPr>
        <w:t>（</w:t>
      </w:r>
      <w:r w:rsidR="009211A1" w:rsidRPr="007C6A51">
        <w:rPr>
          <w:rFonts w:ascii="宋体" w:eastAsia="宋体" w:hAnsi="宋体" w:hint="eastAsia"/>
          <w:b/>
          <w:bCs/>
          <w:szCs w:val="28"/>
        </w:rPr>
        <w:t>一）标准的编制原则：</w:t>
      </w:r>
    </w:p>
    <w:p w14:paraId="76B6C36D" w14:textId="77777777" w:rsidR="00A20E7B" w:rsidRPr="007C6A51" w:rsidRDefault="00A20E7B" w:rsidP="00C544D3">
      <w:pPr>
        <w:spacing w:beforeLines="100" w:before="312" w:line="360" w:lineRule="auto"/>
        <w:jc w:val="left"/>
      </w:pPr>
      <w:r w:rsidRPr="007C6A51">
        <w:rPr>
          <w:rFonts w:hint="eastAsia"/>
        </w:rPr>
        <w:t>1</w:t>
      </w:r>
      <w:r w:rsidRPr="007C6A51">
        <w:rPr>
          <w:rFonts w:hint="eastAsia"/>
        </w:rPr>
        <w:t>、依据</w:t>
      </w:r>
      <w:r w:rsidRPr="007C6A51">
        <w:rPr>
          <w:rFonts w:hint="eastAsia"/>
        </w:rPr>
        <w:t>GB/T 1.1-2020</w:t>
      </w:r>
      <w:r w:rsidRPr="007C6A51">
        <w:rPr>
          <w:rFonts w:hint="eastAsia"/>
        </w:rPr>
        <w:t>、</w:t>
      </w:r>
      <w:r w:rsidRPr="007C6A51">
        <w:rPr>
          <w:rFonts w:hint="eastAsia"/>
        </w:rPr>
        <w:t>T/ESF 0001</w:t>
      </w:r>
      <w:r w:rsidRPr="007C6A51">
        <w:rPr>
          <w:rFonts w:hint="eastAsia"/>
        </w:rPr>
        <w:t>《</w:t>
      </w:r>
      <w:r w:rsidRPr="007C6A51">
        <w:rPr>
          <w:rFonts w:hint="eastAsia"/>
        </w:rPr>
        <w:t xml:space="preserve"> </w:t>
      </w:r>
      <w:r w:rsidRPr="007C6A51">
        <w:rPr>
          <w:rFonts w:hint="eastAsia"/>
        </w:rPr>
        <w:t>“领跑者”标准编制通则》给出的规则编写。</w:t>
      </w:r>
    </w:p>
    <w:p w14:paraId="5C741B1E" w14:textId="77777777" w:rsidR="00A20E7B" w:rsidRPr="007C6A51" w:rsidRDefault="00A20E7B" w:rsidP="00C544D3">
      <w:pPr>
        <w:spacing w:beforeLines="100" w:before="312" w:line="360" w:lineRule="auto"/>
        <w:jc w:val="left"/>
      </w:pPr>
      <w:r w:rsidRPr="007C6A51">
        <w:rPr>
          <w:rFonts w:hint="eastAsia"/>
        </w:rPr>
        <w:t>2</w:t>
      </w:r>
      <w:r w:rsidRPr="007C6A51">
        <w:rPr>
          <w:rFonts w:hint="eastAsia"/>
        </w:rPr>
        <w:t>、标准内容与现行相关国家、行业标准协调配套。</w:t>
      </w:r>
    </w:p>
    <w:p w14:paraId="6D4124BD" w14:textId="77777777" w:rsidR="00C645C1" w:rsidRPr="007C6A51" w:rsidRDefault="00A20E7B" w:rsidP="00C544D3">
      <w:pPr>
        <w:spacing w:beforeLines="100" w:before="312" w:line="360" w:lineRule="auto"/>
        <w:jc w:val="left"/>
      </w:pPr>
      <w:r w:rsidRPr="007C6A51">
        <w:rPr>
          <w:rFonts w:hint="eastAsia"/>
        </w:rPr>
        <w:t>3</w:t>
      </w:r>
      <w:r w:rsidRPr="007C6A51">
        <w:rPr>
          <w:rFonts w:hint="eastAsia"/>
        </w:rPr>
        <w:t>、严格控制指标水平，基础指标以相关国家标准、行业标准中的指标要求为依据取值。核心指标先进水平应以当前国内前</w:t>
      </w:r>
      <w:r w:rsidRPr="007C6A51">
        <w:rPr>
          <w:rFonts w:hint="eastAsia"/>
        </w:rPr>
        <w:t>20%</w:t>
      </w:r>
      <w:r w:rsidRPr="007C6A51">
        <w:rPr>
          <w:rFonts w:hint="eastAsia"/>
        </w:rPr>
        <w:t>的主流企业达到的水平为依据取值；平均水平应以当前国内前</w:t>
      </w:r>
      <w:r w:rsidRPr="007C6A51">
        <w:rPr>
          <w:rFonts w:hint="eastAsia"/>
        </w:rPr>
        <w:t>20%-50%</w:t>
      </w:r>
      <w:r w:rsidRPr="007C6A51">
        <w:rPr>
          <w:rFonts w:hint="eastAsia"/>
        </w:rPr>
        <w:t>的主流企业达到的水平为依据取值；基准水平应以相关国家标准、行业标准中的指标要求为依据取值。创新性指标的选取上，广泛征集，慎重选择，实验方法和指标数值确定要有试验数据做支撑。</w:t>
      </w:r>
    </w:p>
    <w:p w14:paraId="772B5481" w14:textId="77777777" w:rsidR="00BB483B" w:rsidRPr="007C6A51" w:rsidRDefault="0041409D" w:rsidP="00C544D3">
      <w:pPr>
        <w:spacing w:beforeLines="100" w:before="312" w:line="360" w:lineRule="auto"/>
        <w:jc w:val="left"/>
        <w:rPr>
          <w:rFonts w:asciiTheme="majorEastAsia" w:eastAsiaTheme="majorEastAsia" w:hAnsiTheme="majorEastAsia" w:hint="eastAsia"/>
          <w:b/>
          <w:bCs/>
          <w:szCs w:val="28"/>
        </w:rPr>
      </w:pPr>
      <w:r w:rsidRPr="007C6A51">
        <w:rPr>
          <w:rFonts w:asciiTheme="majorEastAsia" w:eastAsiaTheme="majorEastAsia" w:hAnsiTheme="majorEastAsia" w:hint="eastAsia"/>
          <w:b/>
          <w:bCs/>
          <w:szCs w:val="28"/>
        </w:rPr>
        <w:lastRenderedPageBreak/>
        <w:t>（</w:t>
      </w:r>
      <w:r w:rsidR="009211A1" w:rsidRPr="007C6A51">
        <w:rPr>
          <w:rFonts w:asciiTheme="majorEastAsia" w:eastAsiaTheme="majorEastAsia" w:hAnsiTheme="majorEastAsia" w:hint="eastAsia"/>
          <w:b/>
          <w:bCs/>
          <w:szCs w:val="28"/>
        </w:rPr>
        <w:t>二）主要内容的确定</w:t>
      </w:r>
    </w:p>
    <w:p w14:paraId="5455BDCA" w14:textId="77777777" w:rsidR="0041409D" w:rsidRPr="007C6A51" w:rsidRDefault="009211A1" w:rsidP="00900F73">
      <w:r w:rsidRPr="007C6A51">
        <w:rPr>
          <w:rFonts w:hint="eastAsia"/>
        </w:rPr>
        <w:t>1</w:t>
      </w:r>
      <w:r w:rsidRPr="007C6A51">
        <w:rPr>
          <w:rFonts w:hint="eastAsia"/>
        </w:rPr>
        <w:t>、范围</w:t>
      </w:r>
    </w:p>
    <w:p w14:paraId="785EE1FE" w14:textId="634F7EE1" w:rsidR="0041409D" w:rsidRPr="007C6A51" w:rsidRDefault="00494689" w:rsidP="00BE35BF">
      <w:pPr>
        <w:ind w:firstLineChars="200" w:firstLine="560"/>
      </w:pPr>
      <w:r w:rsidRPr="007C6A51">
        <w:rPr>
          <w:rFonts w:hint="eastAsia"/>
        </w:rPr>
        <w:t>本文件规定了</w:t>
      </w:r>
      <w:r w:rsidR="00AC6C44" w:rsidRPr="007C6A51">
        <w:rPr>
          <w:rFonts w:hint="eastAsia"/>
        </w:rPr>
        <w:t>家居用缓冲型抽屉导轨</w:t>
      </w:r>
      <w:r w:rsidRPr="007C6A51">
        <w:rPr>
          <w:rFonts w:hint="eastAsia"/>
        </w:rPr>
        <w:t>产品质量及企业标准水平基本要求、评价指标及要求、评价方法及等级划分和产品质量分级。</w:t>
      </w:r>
    </w:p>
    <w:p w14:paraId="45BC3BF3" w14:textId="1395B151" w:rsidR="001F65D6" w:rsidRPr="007C6A51" w:rsidRDefault="001F65D6" w:rsidP="00BE35BF">
      <w:pPr>
        <w:ind w:firstLineChars="200" w:firstLine="560"/>
        <w:rPr>
          <w:highlight w:val="yellow"/>
        </w:rPr>
      </w:pPr>
      <w:r w:rsidRPr="007C6A51">
        <w:rPr>
          <w:rFonts w:hint="eastAsia"/>
        </w:rPr>
        <w:t>本文件适用于</w:t>
      </w:r>
      <w:r w:rsidR="00AC6C44" w:rsidRPr="007C6A51">
        <w:rPr>
          <w:rFonts w:hint="eastAsia"/>
        </w:rPr>
        <w:t>家居用缓冲型抽屉导轨</w:t>
      </w:r>
      <w:r w:rsidRPr="007C6A51">
        <w:rPr>
          <w:rFonts w:hint="eastAsia"/>
        </w:rPr>
        <w:t>产品质量及企业标准水平评价。相关机构开展质量分级和企业标准水平评价、“领跑者”产品评价以及相关认证或评价时可参照使用，相关企业在制定企业标准时也可参照本文件。</w:t>
      </w:r>
    </w:p>
    <w:p w14:paraId="0037212C" w14:textId="77777777" w:rsidR="0041409D" w:rsidRPr="007C6A51" w:rsidRDefault="002D675F" w:rsidP="002D675F">
      <w:r w:rsidRPr="007C6A51">
        <w:rPr>
          <w:rFonts w:hint="eastAsia"/>
        </w:rPr>
        <w:t>2</w:t>
      </w:r>
      <w:r w:rsidRPr="007C6A51">
        <w:rPr>
          <w:rFonts w:hint="eastAsia"/>
        </w:rPr>
        <w:t>、主要内容</w:t>
      </w:r>
    </w:p>
    <w:p w14:paraId="5E003248" w14:textId="3B04137E" w:rsidR="00C645C1" w:rsidRPr="007C6A51" w:rsidRDefault="00C645C1" w:rsidP="00BE35BF">
      <w:pPr>
        <w:ind w:firstLineChars="200" w:firstLine="560"/>
      </w:pPr>
      <w:r w:rsidRPr="007C6A51">
        <w:rPr>
          <w:rFonts w:hint="eastAsia"/>
        </w:rPr>
        <w:t>本文件的主要内容有：规范性引用文件、术语和定义、基本要求、评价指标</w:t>
      </w:r>
      <w:r w:rsidR="00706820" w:rsidRPr="007C6A51">
        <w:rPr>
          <w:rFonts w:hint="eastAsia"/>
        </w:rPr>
        <w:t>及要求</w:t>
      </w:r>
      <w:r w:rsidRPr="007C6A51">
        <w:rPr>
          <w:rFonts w:hint="eastAsia"/>
        </w:rPr>
        <w:t>、评价方法</w:t>
      </w:r>
      <w:r w:rsidR="00706820" w:rsidRPr="007C6A51">
        <w:rPr>
          <w:rFonts w:hint="eastAsia"/>
        </w:rPr>
        <w:t>及等级划分</w:t>
      </w:r>
      <w:r w:rsidRPr="007C6A51">
        <w:rPr>
          <w:rFonts w:hint="eastAsia"/>
        </w:rPr>
        <w:t>。</w:t>
      </w:r>
    </w:p>
    <w:p w14:paraId="4854BA3F" w14:textId="153131F9" w:rsidR="00BE35BF" w:rsidRPr="007C6A51" w:rsidRDefault="00AC6C44" w:rsidP="00BE35BF">
      <w:pPr>
        <w:ind w:firstLineChars="200" w:firstLine="560"/>
      </w:pPr>
      <w:r w:rsidRPr="007C6A51">
        <w:rPr>
          <w:rFonts w:hint="eastAsia"/>
        </w:rPr>
        <w:t>家居用缓冲型抽屉导轨</w:t>
      </w:r>
      <w:r w:rsidR="00BE35BF" w:rsidRPr="007C6A51">
        <w:rPr>
          <w:rFonts w:hint="eastAsia"/>
        </w:rPr>
        <w:t>评价指标分为：基础指标、核心指标和创新性指标。</w:t>
      </w:r>
    </w:p>
    <w:p w14:paraId="7579E244" w14:textId="47337BFF" w:rsidR="00BE35BF" w:rsidRPr="007C6A51" w:rsidRDefault="00BE35BF" w:rsidP="00AC6C44">
      <w:pPr>
        <w:ind w:firstLineChars="200" w:firstLine="560"/>
      </w:pPr>
      <w:r w:rsidRPr="007C6A51">
        <w:rPr>
          <w:rFonts w:hint="eastAsia"/>
        </w:rPr>
        <w:t>基础指标包括：</w:t>
      </w:r>
      <w:r w:rsidR="00AC6C44" w:rsidRPr="007C6A51">
        <w:rPr>
          <w:rFonts w:hint="eastAsia"/>
        </w:rPr>
        <w:t>材料</w:t>
      </w:r>
      <w:r w:rsidR="00AC6C44" w:rsidRPr="007C6A51">
        <w:rPr>
          <w:rFonts w:hint="eastAsia"/>
        </w:rPr>
        <w:t>、</w:t>
      </w:r>
      <w:r w:rsidR="00AC6C44" w:rsidRPr="007C6A51">
        <w:rPr>
          <w:rFonts w:hint="eastAsia"/>
        </w:rPr>
        <w:t>垂直向下静载荷</w:t>
      </w:r>
      <w:r w:rsidR="00AC6C44" w:rsidRPr="007C6A51">
        <w:rPr>
          <w:rFonts w:hint="eastAsia"/>
        </w:rPr>
        <w:t>、</w:t>
      </w:r>
      <w:r w:rsidR="00AC6C44" w:rsidRPr="007C6A51">
        <w:rPr>
          <w:rFonts w:hint="eastAsia"/>
        </w:rPr>
        <w:t>水平侧向静载荷</w:t>
      </w:r>
      <w:r w:rsidR="00AC6C44" w:rsidRPr="007C6A51">
        <w:rPr>
          <w:rFonts w:hint="eastAsia"/>
        </w:rPr>
        <w:t>、</w:t>
      </w:r>
      <w:proofErr w:type="gramStart"/>
      <w:r w:rsidR="00AC6C44" w:rsidRPr="007C6A51">
        <w:rPr>
          <w:rFonts w:hint="eastAsia"/>
        </w:rPr>
        <w:t>猛关或</w:t>
      </w:r>
      <w:proofErr w:type="gramEnd"/>
      <w:r w:rsidR="00AC6C44" w:rsidRPr="007C6A51">
        <w:rPr>
          <w:rFonts w:hint="eastAsia"/>
        </w:rPr>
        <w:t>猛开</w:t>
      </w:r>
      <w:r w:rsidR="00AC6C44" w:rsidRPr="007C6A51">
        <w:rPr>
          <w:rFonts w:hint="eastAsia"/>
        </w:rPr>
        <w:t>、</w:t>
      </w:r>
      <w:r w:rsidR="00AC6C44" w:rsidRPr="007C6A51">
        <w:rPr>
          <w:rFonts w:hint="eastAsia"/>
        </w:rPr>
        <w:t>抽屉导轨组件结构强度</w:t>
      </w:r>
      <w:r w:rsidR="00AC6C44" w:rsidRPr="007C6A51">
        <w:rPr>
          <w:rFonts w:hint="eastAsia"/>
        </w:rPr>
        <w:t>、</w:t>
      </w:r>
      <w:r w:rsidR="00AC6C44" w:rsidRPr="007C6A51">
        <w:rPr>
          <w:rFonts w:hint="eastAsia"/>
        </w:rPr>
        <w:t>耐久性</w:t>
      </w:r>
      <w:r w:rsidR="00AC6C44" w:rsidRPr="007C6A51">
        <w:rPr>
          <w:rFonts w:hint="eastAsia"/>
        </w:rPr>
        <w:t>、</w:t>
      </w:r>
      <w:r w:rsidR="00AC6C44" w:rsidRPr="007C6A51">
        <w:rPr>
          <w:rFonts w:hint="eastAsia"/>
        </w:rPr>
        <w:t>垂直向下静载荷</w:t>
      </w:r>
      <w:r w:rsidR="00AC6C44" w:rsidRPr="007C6A51">
        <w:rPr>
          <w:rFonts w:hint="eastAsia"/>
        </w:rPr>
        <w:t>、</w:t>
      </w:r>
      <w:r w:rsidR="00AC6C44" w:rsidRPr="007C6A51">
        <w:rPr>
          <w:rFonts w:hint="eastAsia"/>
        </w:rPr>
        <w:t>水平侧向静载荷</w:t>
      </w:r>
      <w:r w:rsidR="00AC6C44" w:rsidRPr="007C6A51">
        <w:rPr>
          <w:rFonts w:hint="eastAsia"/>
        </w:rPr>
        <w:t>、</w:t>
      </w:r>
      <w:r w:rsidR="00AC6C44" w:rsidRPr="007C6A51">
        <w:rPr>
          <w:rFonts w:hint="eastAsia"/>
        </w:rPr>
        <w:t>拉出安全性</w:t>
      </w:r>
      <w:r w:rsidR="00AC6C44" w:rsidRPr="007C6A51">
        <w:rPr>
          <w:rFonts w:hint="eastAsia"/>
        </w:rPr>
        <w:t>、</w:t>
      </w:r>
      <w:proofErr w:type="gramStart"/>
      <w:r w:rsidR="00AC6C44" w:rsidRPr="007C6A51">
        <w:rPr>
          <w:rFonts w:hint="eastAsia"/>
        </w:rPr>
        <w:t>猛关或</w:t>
      </w:r>
      <w:proofErr w:type="gramEnd"/>
      <w:r w:rsidR="00AC6C44" w:rsidRPr="007C6A51">
        <w:rPr>
          <w:rFonts w:hint="eastAsia"/>
        </w:rPr>
        <w:t>猛开</w:t>
      </w:r>
      <w:r w:rsidRPr="007C6A51">
        <w:rPr>
          <w:rFonts w:hint="eastAsia"/>
        </w:rPr>
        <w:t>。</w:t>
      </w:r>
    </w:p>
    <w:p w14:paraId="5FEA53AC" w14:textId="18607097" w:rsidR="00BE35BF" w:rsidRPr="007C6A51" w:rsidRDefault="00BE35BF" w:rsidP="00AC6C44">
      <w:pPr>
        <w:ind w:firstLineChars="200" w:firstLine="560"/>
      </w:pPr>
      <w:r w:rsidRPr="007C6A51">
        <w:rPr>
          <w:rFonts w:hint="eastAsia"/>
        </w:rPr>
        <w:t>核心指标包括：</w:t>
      </w:r>
      <w:r w:rsidR="00AC6C44" w:rsidRPr="007C6A51">
        <w:rPr>
          <w:rFonts w:hint="eastAsia"/>
        </w:rPr>
        <w:t>操作力</w:t>
      </w:r>
      <w:r w:rsidR="00AC6C44" w:rsidRPr="007C6A51">
        <w:rPr>
          <w:rFonts w:hint="eastAsia"/>
        </w:rPr>
        <w:t>、</w:t>
      </w:r>
      <w:r w:rsidR="00AC6C44" w:rsidRPr="007C6A51">
        <w:rPr>
          <w:rFonts w:hint="eastAsia"/>
        </w:rPr>
        <w:t>抽屉导轨组件底部变形</w:t>
      </w:r>
      <w:r w:rsidR="00AC6C44" w:rsidRPr="007C6A51">
        <w:rPr>
          <w:rFonts w:hint="eastAsia"/>
        </w:rPr>
        <w:t>、</w:t>
      </w:r>
      <w:r w:rsidR="00AC6C44" w:rsidRPr="007C6A51">
        <w:rPr>
          <w:rFonts w:hint="eastAsia"/>
        </w:rPr>
        <w:t>下沉量</w:t>
      </w:r>
      <w:r w:rsidR="00AC6C44" w:rsidRPr="007C6A51">
        <w:rPr>
          <w:rFonts w:hint="eastAsia"/>
        </w:rPr>
        <w:t>、</w:t>
      </w:r>
      <w:r w:rsidR="00AC6C44" w:rsidRPr="007C6A51">
        <w:rPr>
          <w:rFonts w:hint="eastAsia"/>
        </w:rPr>
        <w:t>寿命测试（次）</w:t>
      </w:r>
      <w:r w:rsidRPr="007C6A51">
        <w:rPr>
          <w:rFonts w:hint="eastAsia"/>
        </w:rPr>
        <w:t>。</w:t>
      </w:r>
    </w:p>
    <w:p w14:paraId="51876BBA" w14:textId="6577397F" w:rsidR="00BE35BF" w:rsidRPr="007C6A51" w:rsidRDefault="00BE35BF" w:rsidP="00AC6C44">
      <w:pPr>
        <w:ind w:firstLineChars="200" w:firstLine="560"/>
      </w:pPr>
      <w:r w:rsidRPr="007C6A51">
        <w:rPr>
          <w:rFonts w:hint="eastAsia"/>
        </w:rPr>
        <w:t>创新性指标包括：</w:t>
      </w:r>
      <w:r w:rsidR="00AC6C44" w:rsidRPr="007C6A51">
        <w:rPr>
          <w:rFonts w:hint="eastAsia"/>
        </w:rPr>
        <w:t>耐腐蚀</w:t>
      </w:r>
      <w:r w:rsidR="00AC6C44" w:rsidRPr="007C6A51">
        <w:rPr>
          <w:rFonts w:hint="eastAsia"/>
        </w:rPr>
        <w:t>、</w:t>
      </w:r>
      <w:r w:rsidR="00AC6C44" w:rsidRPr="007C6A51">
        <w:rPr>
          <w:rFonts w:hint="eastAsia"/>
        </w:rPr>
        <w:t>安全性能</w:t>
      </w:r>
      <w:r w:rsidR="00AC6C44" w:rsidRPr="007C6A51">
        <w:rPr>
          <w:rFonts w:hint="eastAsia"/>
        </w:rPr>
        <w:t>、</w:t>
      </w:r>
      <w:r w:rsidR="00AC6C44" w:rsidRPr="007C6A51">
        <w:rPr>
          <w:rFonts w:hint="eastAsia"/>
        </w:rPr>
        <w:t>调节功能</w:t>
      </w:r>
      <w:r w:rsidR="00AC6C44" w:rsidRPr="007C6A51">
        <w:rPr>
          <w:rFonts w:hint="eastAsia"/>
        </w:rPr>
        <w:t>、</w:t>
      </w:r>
      <w:r w:rsidR="00AC6C44" w:rsidRPr="007C6A51">
        <w:rPr>
          <w:rFonts w:hint="eastAsia"/>
        </w:rPr>
        <w:t>快速拆装功能</w:t>
      </w:r>
      <w:r w:rsidRPr="007C6A51">
        <w:rPr>
          <w:rFonts w:hint="eastAsia"/>
        </w:rPr>
        <w:t>，鼓励根据条件成熟情况适时增加与产品性能和消费者关注的相关创新性指标。</w:t>
      </w:r>
    </w:p>
    <w:p w14:paraId="4895CED2" w14:textId="77777777" w:rsidR="00D442A3" w:rsidRPr="007C6A51" w:rsidRDefault="00D442A3" w:rsidP="0041409D">
      <w:pPr>
        <w:pStyle w:val="ae"/>
        <w:spacing w:before="312" w:after="312"/>
      </w:pPr>
      <w:r w:rsidRPr="007C6A51">
        <w:rPr>
          <w:rFonts w:hint="eastAsia"/>
        </w:rPr>
        <w:t>四、标准修订过程</w:t>
      </w:r>
    </w:p>
    <w:p w14:paraId="362C2E46" w14:textId="77777777" w:rsidR="00D442A3" w:rsidRPr="007C6A51" w:rsidRDefault="00D442A3" w:rsidP="00C544D3">
      <w:pPr>
        <w:spacing w:beforeLines="100" w:before="312" w:line="360" w:lineRule="auto"/>
        <w:jc w:val="left"/>
        <w:rPr>
          <w:rFonts w:asciiTheme="minorEastAsia" w:hAnsiTheme="minorEastAsia" w:hint="eastAsia"/>
          <w:szCs w:val="28"/>
        </w:rPr>
      </w:pPr>
      <w:r w:rsidRPr="007C6A51">
        <w:rPr>
          <w:rFonts w:asciiTheme="minorEastAsia" w:hAnsiTheme="minorEastAsia" w:hint="eastAsia"/>
          <w:szCs w:val="28"/>
        </w:rPr>
        <w:t>1</w:t>
      </w:r>
      <w:r w:rsidRPr="007C6A51">
        <w:rPr>
          <w:rFonts w:asciiTheme="minorEastAsia" w:hAnsiTheme="minorEastAsia"/>
          <w:szCs w:val="28"/>
        </w:rPr>
        <w:t>.</w:t>
      </w:r>
      <w:r w:rsidR="00AB07AA" w:rsidRPr="007C6A51">
        <w:rPr>
          <w:rFonts w:asciiTheme="minorEastAsia" w:hAnsiTheme="minorEastAsia" w:hint="eastAsia"/>
          <w:szCs w:val="28"/>
        </w:rPr>
        <w:t>标准起草</w:t>
      </w:r>
    </w:p>
    <w:p w14:paraId="57F8010E" w14:textId="6F299502" w:rsidR="00AB07AA" w:rsidRPr="007C6A51" w:rsidRDefault="00AB07AA" w:rsidP="00312948">
      <w:pPr>
        <w:ind w:firstLineChars="200" w:firstLine="560"/>
      </w:pPr>
      <w:r w:rsidRPr="007C6A51">
        <w:rPr>
          <w:rFonts w:hint="eastAsia"/>
        </w:rPr>
        <w:lastRenderedPageBreak/>
        <w:t>该标准项目立项获得批准后，</w:t>
      </w:r>
      <w:r w:rsidR="00312948" w:rsidRPr="007C6A51">
        <w:rPr>
          <w:rFonts w:hint="eastAsia"/>
        </w:rPr>
        <w:t>经研究，决定由</w:t>
      </w:r>
      <w:r w:rsidR="00FF5641" w:rsidRPr="007C6A51">
        <w:rPr>
          <w:rFonts w:hint="eastAsia"/>
        </w:rPr>
        <w:t>广东东泰五金精密制造有限公司</w:t>
      </w:r>
      <w:r w:rsidR="00312948" w:rsidRPr="007C6A51">
        <w:rPr>
          <w:rFonts w:hint="eastAsia"/>
        </w:rPr>
        <w:t>担任《</w:t>
      </w:r>
      <w:r w:rsidR="00A45E6A" w:rsidRPr="007C6A51">
        <w:rPr>
          <w:rFonts w:hint="eastAsia"/>
        </w:rPr>
        <w:t>质量分级及“领跑者”评价要求</w:t>
      </w:r>
      <w:r w:rsidR="00A45E6A" w:rsidRPr="007C6A51">
        <w:rPr>
          <w:rFonts w:hint="eastAsia"/>
        </w:rPr>
        <w:t xml:space="preserve"> </w:t>
      </w:r>
      <w:r w:rsidR="00AC6C44" w:rsidRPr="007C6A51">
        <w:rPr>
          <w:rFonts w:hint="eastAsia"/>
        </w:rPr>
        <w:t>家居用缓冲型抽屉导轨</w:t>
      </w:r>
      <w:r w:rsidR="00312948" w:rsidRPr="007C6A51">
        <w:rPr>
          <w:rFonts w:hint="eastAsia"/>
        </w:rPr>
        <w:t>》的主要起草单位，负责标准草案起草工作，</w:t>
      </w:r>
      <w:r w:rsidRPr="007C6A51">
        <w:rPr>
          <w:rFonts w:hint="eastAsia"/>
        </w:rPr>
        <w:t>标准草案编写工作于</w:t>
      </w:r>
      <w:r w:rsidRPr="007C6A51">
        <w:rPr>
          <w:rFonts w:hint="eastAsia"/>
        </w:rPr>
        <w:t>2</w:t>
      </w:r>
      <w:r w:rsidRPr="007C6A51">
        <w:t>02</w:t>
      </w:r>
      <w:r w:rsidR="000970E8" w:rsidRPr="007C6A51">
        <w:rPr>
          <w:rFonts w:hint="eastAsia"/>
        </w:rPr>
        <w:t>4</w:t>
      </w:r>
      <w:r w:rsidRPr="007C6A51">
        <w:rPr>
          <w:rFonts w:hint="eastAsia"/>
        </w:rPr>
        <w:t>年</w:t>
      </w:r>
      <w:r w:rsidR="00FF5641" w:rsidRPr="007C6A51">
        <w:rPr>
          <w:rFonts w:hint="eastAsia"/>
        </w:rPr>
        <w:t>7</w:t>
      </w:r>
      <w:r w:rsidRPr="007C6A51">
        <w:rPr>
          <w:rFonts w:hint="eastAsia"/>
        </w:rPr>
        <w:t>月完成。</w:t>
      </w:r>
    </w:p>
    <w:p w14:paraId="28C69EA8" w14:textId="5FA5A3E7" w:rsidR="000970E8" w:rsidRPr="007C6A51" w:rsidRDefault="000970E8" w:rsidP="000970E8">
      <w:r w:rsidRPr="007C6A51">
        <w:rPr>
          <w:rFonts w:hint="eastAsia"/>
        </w:rPr>
        <w:t>2.</w:t>
      </w:r>
      <w:r w:rsidRPr="007C6A51">
        <w:rPr>
          <w:rFonts w:hint="eastAsia"/>
        </w:rPr>
        <w:t>征求意见阶段</w:t>
      </w:r>
    </w:p>
    <w:p w14:paraId="08A6A0EF" w14:textId="4FA47B85" w:rsidR="000970E8" w:rsidRPr="007C6A51" w:rsidRDefault="000970E8" w:rsidP="000970E8">
      <w:r w:rsidRPr="007C6A51">
        <w:rPr>
          <w:rFonts w:hint="eastAsia"/>
        </w:rPr>
        <w:t xml:space="preserve">    </w:t>
      </w:r>
      <w:r w:rsidRPr="007C6A51">
        <w:rPr>
          <w:rFonts w:hint="eastAsia"/>
        </w:rPr>
        <w:t>标准草案完成后，起草组内部经过讨论，形成征求意见稿，于</w:t>
      </w:r>
      <w:r w:rsidRPr="007C6A51">
        <w:rPr>
          <w:rFonts w:hint="eastAsia"/>
        </w:rPr>
        <w:t>2024</w:t>
      </w:r>
      <w:r w:rsidRPr="007C6A51">
        <w:rPr>
          <w:rFonts w:hint="eastAsia"/>
        </w:rPr>
        <w:t>年</w:t>
      </w:r>
      <w:r w:rsidR="00FF5641" w:rsidRPr="007C6A51">
        <w:rPr>
          <w:rFonts w:hint="eastAsia"/>
        </w:rPr>
        <w:t>8</w:t>
      </w:r>
      <w:r w:rsidRPr="007C6A51">
        <w:rPr>
          <w:rFonts w:hint="eastAsia"/>
        </w:rPr>
        <w:t>月</w:t>
      </w:r>
      <w:r w:rsidR="00FF5641" w:rsidRPr="007C6A51">
        <w:rPr>
          <w:rFonts w:hint="eastAsia"/>
        </w:rPr>
        <w:t>2</w:t>
      </w:r>
      <w:r w:rsidR="00FF5641" w:rsidRPr="007C6A51">
        <w:rPr>
          <w:rFonts w:hint="eastAsia"/>
        </w:rPr>
        <w:t>日</w:t>
      </w:r>
      <w:r w:rsidRPr="007C6A51">
        <w:rPr>
          <w:rFonts w:hint="eastAsia"/>
        </w:rPr>
        <w:t>开始进行征求意见。</w:t>
      </w:r>
    </w:p>
    <w:p w14:paraId="12087CE0" w14:textId="77777777" w:rsidR="00A75483" w:rsidRPr="007C6A51" w:rsidRDefault="00D442A3" w:rsidP="00AB07AA">
      <w:pPr>
        <w:pStyle w:val="ae"/>
        <w:spacing w:before="312" w:after="312"/>
      </w:pPr>
      <w:r w:rsidRPr="007C6A51">
        <w:rPr>
          <w:rFonts w:hint="eastAsia"/>
        </w:rPr>
        <w:t>五</w:t>
      </w:r>
      <w:r w:rsidR="009211A1" w:rsidRPr="007C6A51">
        <w:rPr>
          <w:rFonts w:hint="eastAsia"/>
        </w:rPr>
        <w:t>、国内外情况简要说明</w:t>
      </w:r>
    </w:p>
    <w:p w14:paraId="4380D2F9" w14:textId="0B0E7694" w:rsidR="00931D64" w:rsidRPr="007C6A51" w:rsidRDefault="00931D64" w:rsidP="00931D64">
      <w:pPr>
        <w:ind w:firstLineChars="200" w:firstLine="560"/>
      </w:pPr>
      <w:r w:rsidRPr="007C6A51">
        <w:rPr>
          <w:rFonts w:hint="eastAsia"/>
        </w:rPr>
        <w:t>中国</w:t>
      </w:r>
      <w:r w:rsidR="00AC6C44" w:rsidRPr="007C6A51">
        <w:rPr>
          <w:rFonts w:hint="eastAsia"/>
        </w:rPr>
        <w:t>家居用缓冲型抽屉导轨</w:t>
      </w:r>
      <w:r w:rsidRPr="007C6A51">
        <w:rPr>
          <w:rFonts w:hint="eastAsia"/>
        </w:rPr>
        <w:t>制造行业一直致力于技术的发展与革新，整机和零部件的生产技术都取得了长足进步，产品的结构、使用性能、安全性能等相较发展初期有了巨大的提升，相关标准亦在逐步的完善。</w:t>
      </w:r>
    </w:p>
    <w:p w14:paraId="75939CCE" w14:textId="6A39FBDE" w:rsidR="00BB483B" w:rsidRPr="007C6A51" w:rsidRDefault="004F04DB" w:rsidP="00931D64">
      <w:pPr>
        <w:pStyle w:val="ae"/>
        <w:spacing w:before="312" w:after="312"/>
      </w:pPr>
      <w:r w:rsidRPr="007C6A51">
        <w:rPr>
          <w:rFonts w:hint="eastAsia"/>
        </w:rPr>
        <w:t>六、指标与国际标准对比</w:t>
      </w:r>
      <w:r w:rsidR="0025628D" w:rsidRPr="007C6A51">
        <w:rPr>
          <w:rFonts w:hint="eastAsia"/>
        </w:rPr>
        <w:t>情况</w:t>
      </w:r>
    </w:p>
    <w:p w14:paraId="3AF370F7" w14:textId="45C0E169" w:rsidR="00AF2D20" w:rsidRPr="007C6A51" w:rsidRDefault="006D15F7" w:rsidP="002F3B91">
      <w:pPr>
        <w:ind w:firstLineChars="200" w:firstLine="560"/>
      </w:pPr>
      <w:r w:rsidRPr="007C6A51">
        <w:rPr>
          <w:rFonts w:hint="eastAsia"/>
        </w:rPr>
        <w:t>导轨在创新性指标与国内标准的差异性在表</w:t>
      </w:r>
      <w:r w:rsidRPr="007C6A51">
        <w:rPr>
          <w:rFonts w:hint="eastAsia"/>
        </w:rPr>
        <w:t xml:space="preserve">2 </w:t>
      </w:r>
      <w:r w:rsidRPr="007C6A51">
        <w:rPr>
          <w:rFonts w:hint="eastAsia"/>
        </w:rPr>
        <w:t>中</w:t>
      </w:r>
      <w:proofErr w:type="gramStart"/>
      <w:r w:rsidRPr="007C6A51">
        <w:rPr>
          <w:rFonts w:hint="eastAsia"/>
        </w:rPr>
        <w:t>作出</w:t>
      </w:r>
      <w:proofErr w:type="gramEnd"/>
      <w:r w:rsidRPr="007C6A51">
        <w:rPr>
          <w:rFonts w:hint="eastAsia"/>
        </w:rPr>
        <w:t>对比。</w:t>
      </w:r>
      <w:r w:rsidR="002F3B91" w:rsidRPr="007C6A51">
        <w:rPr>
          <w:rFonts w:hint="eastAsia"/>
        </w:rPr>
        <w:t>。</w:t>
      </w:r>
    </w:p>
    <w:p w14:paraId="43DAFCA6" w14:textId="77777777" w:rsidR="00630DB7" w:rsidRPr="007C6A51" w:rsidRDefault="00630DB7" w:rsidP="00630DB7">
      <w:pPr>
        <w:spacing w:line="360" w:lineRule="auto"/>
        <w:ind w:firstLine="465"/>
        <w:jc w:val="center"/>
      </w:pPr>
      <w:r w:rsidRPr="007C6A51">
        <w:rPr>
          <w:rFonts w:asciiTheme="majorEastAsia" w:eastAsiaTheme="majorEastAsia" w:hAnsiTheme="majorEastAsia" w:hint="eastAsia"/>
          <w:sz w:val="24"/>
          <w:szCs w:val="24"/>
        </w:rPr>
        <w:t>表1</w:t>
      </w:r>
      <w:r w:rsidRPr="007C6A51">
        <w:rPr>
          <w:rFonts w:asciiTheme="majorEastAsia" w:eastAsiaTheme="majorEastAsia" w:hAnsiTheme="majorEastAsia"/>
          <w:sz w:val="24"/>
          <w:szCs w:val="24"/>
        </w:rPr>
        <w:t xml:space="preserve"> </w:t>
      </w:r>
      <w:r w:rsidRPr="007C6A51">
        <w:rPr>
          <w:rFonts w:asciiTheme="majorEastAsia" w:eastAsiaTheme="majorEastAsia" w:hAnsiTheme="majorEastAsia" w:hint="eastAsia"/>
          <w:sz w:val="24"/>
          <w:szCs w:val="24"/>
        </w:rPr>
        <w:t>本标准所列的部分指标与国家标准对比情况</w:t>
      </w:r>
    </w:p>
    <w:tbl>
      <w:tblPr>
        <w:tblStyle w:val="ac"/>
        <w:tblpPr w:leftFromText="180" w:rightFromText="180" w:vertAnchor="text" w:horzAnchor="page" w:tblpX="1170" w:tblpY="250"/>
        <w:tblOverlap w:val="neve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1380"/>
        <w:gridCol w:w="1320"/>
        <w:gridCol w:w="3570"/>
        <w:gridCol w:w="2655"/>
      </w:tblGrid>
      <w:tr w:rsidR="007C6A51" w:rsidRPr="007C6A51" w14:paraId="2C07DD32" w14:textId="77777777" w:rsidTr="003B5DE7">
        <w:trPr>
          <w:trHeight w:val="794"/>
        </w:trPr>
        <w:tc>
          <w:tcPr>
            <w:tcW w:w="385" w:type="dxa"/>
            <w:vAlign w:val="center"/>
          </w:tcPr>
          <w:p w14:paraId="42D97FEA" w14:textId="77777777" w:rsidR="006D15F7" w:rsidRPr="007C6A51" w:rsidRDefault="006D15F7" w:rsidP="003B5DE7">
            <w:pPr>
              <w:jc w:val="center"/>
              <w:rPr>
                <w:rFonts w:ascii="宋体" w:hAnsi="宋体" w:hint="eastAsia"/>
                <w:kern w:val="0"/>
                <w:sz w:val="24"/>
                <w:szCs w:val="24"/>
              </w:rPr>
            </w:pPr>
            <w:r w:rsidRPr="007C6A51">
              <w:rPr>
                <w:rFonts w:ascii="宋体" w:hAnsi="宋体" w:hint="eastAsia"/>
                <w:kern w:val="0"/>
                <w:sz w:val="24"/>
                <w:szCs w:val="24"/>
              </w:rPr>
              <w:t>序号</w:t>
            </w:r>
          </w:p>
        </w:tc>
        <w:tc>
          <w:tcPr>
            <w:tcW w:w="1380" w:type="dxa"/>
            <w:vAlign w:val="center"/>
          </w:tcPr>
          <w:p w14:paraId="2D0D1DCF" w14:textId="77777777" w:rsidR="006D15F7" w:rsidRPr="007C6A51" w:rsidRDefault="006D15F7" w:rsidP="003B5DE7">
            <w:pPr>
              <w:jc w:val="center"/>
              <w:rPr>
                <w:rFonts w:ascii="宋体" w:hAnsi="宋体" w:hint="eastAsia"/>
                <w:kern w:val="0"/>
                <w:sz w:val="24"/>
                <w:szCs w:val="24"/>
              </w:rPr>
            </w:pPr>
            <w:r w:rsidRPr="007C6A51">
              <w:rPr>
                <w:rFonts w:ascii="宋体" w:hAnsi="宋体" w:hint="eastAsia"/>
                <w:kern w:val="0"/>
                <w:sz w:val="24"/>
                <w:szCs w:val="24"/>
              </w:rPr>
              <w:t>评价指标</w:t>
            </w:r>
          </w:p>
        </w:tc>
        <w:tc>
          <w:tcPr>
            <w:tcW w:w="1320" w:type="dxa"/>
            <w:vAlign w:val="center"/>
          </w:tcPr>
          <w:p w14:paraId="6B3D53F5" w14:textId="77777777" w:rsidR="006D15F7" w:rsidRPr="007C6A51" w:rsidRDefault="006D15F7" w:rsidP="003B5DE7">
            <w:pPr>
              <w:jc w:val="center"/>
              <w:rPr>
                <w:rFonts w:ascii="宋体" w:hAnsi="宋体" w:hint="eastAsia"/>
                <w:kern w:val="0"/>
                <w:sz w:val="24"/>
                <w:szCs w:val="24"/>
              </w:rPr>
            </w:pPr>
            <w:r w:rsidRPr="007C6A51">
              <w:rPr>
                <w:rFonts w:ascii="宋体" w:hAnsi="宋体" w:hint="eastAsia"/>
                <w:kern w:val="0"/>
                <w:sz w:val="24"/>
                <w:szCs w:val="24"/>
              </w:rPr>
              <w:t>指标来源</w:t>
            </w:r>
          </w:p>
        </w:tc>
        <w:tc>
          <w:tcPr>
            <w:tcW w:w="3570" w:type="dxa"/>
            <w:vAlign w:val="center"/>
          </w:tcPr>
          <w:p w14:paraId="2ACABBF7" w14:textId="77777777" w:rsidR="006D15F7" w:rsidRPr="007C6A51" w:rsidRDefault="006D15F7" w:rsidP="003B5DE7">
            <w:pPr>
              <w:jc w:val="center"/>
              <w:rPr>
                <w:rFonts w:ascii="宋体" w:hAnsi="宋体" w:hint="eastAsia"/>
                <w:kern w:val="0"/>
                <w:sz w:val="24"/>
                <w:szCs w:val="24"/>
              </w:rPr>
            </w:pPr>
            <w:r w:rsidRPr="007C6A51">
              <w:rPr>
                <w:rFonts w:ascii="宋体" w:hAnsi="宋体" w:hint="eastAsia"/>
                <w:kern w:val="0"/>
                <w:sz w:val="24"/>
                <w:szCs w:val="24"/>
              </w:rPr>
              <w:t>本标准指标要求</w:t>
            </w:r>
          </w:p>
        </w:tc>
        <w:tc>
          <w:tcPr>
            <w:tcW w:w="2655" w:type="dxa"/>
            <w:vAlign w:val="center"/>
          </w:tcPr>
          <w:p w14:paraId="3E99C42E" w14:textId="77777777" w:rsidR="006D15F7" w:rsidRPr="007C6A51" w:rsidRDefault="006D15F7" w:rsidP="003B5DE7">
            <w:pPr>
              <w:jc w:val="center"/>
              <w:rPr>
                <w:rFonts w:ascii="宋体" w:hAnsi="宋体" w:hint="eastAsia"/>
                <w:kern w:val="0"/>
                <w:sz w:val="24"/>
                <w:szCs w:val="24"/>
              </w:rPr>
            </w:pPr>
            <w:r w:rsidRPr="007C6A51">
              <w:rPr>
                <w:rFonts w:ascii="宋体" w:hAnsi="宋体" w:hint="eastAsia"/>
                <w:kern w:val="0"/>
                <w:sz w:val="24"/>
                <w:szCs w:val="24"/>
              </w:rPr>
              <w:t>国标指标要求</w:t>
            </w:r>
          </w:p>
        </w:tc>
      </w:tr>
      <w:tr w:rsidR="007C6A51" w:rsidRPr="007C6A51" w14:paraId="46D35BFF" w14:textId="77777777" w:rsidTr="003B5DE7">
        <w:trPr>
          <w:trHeight w:val="772"/>
        </w:trPr>
        <w:tc>
          <w:tcPr>
            <w:tcW w:w="385" w:type="dxa"/>
            <w:vAlign w:val="center"/>
          </w:tcPr>
          <w:p w14:paraId="44BDA1C1" w14:textId="77777777" w:rsidR="006D15F7" w:rsidRPr="007C6A51" w:rsidRDefault="006D15F7" w:rsidP="003B5DE7">
            <w:pPr>
              <w:jc w:val="center"/>
              <w:rPr>
                <w:rFonts w:ascii="宋体" w:hAnsi="宋体" w:hint="eastAsia"/>
                <w:kern w:val="0"/>
                <w:sz w:val="21"/>
                <w:szCs w:val="21"/>
              </w:rPr>
            </w:pPr>
            <w:r w:rsidRPr="007C6A51">
              <w:rPr>
                <w:rFonts w:ascii="宋体" w:hAnsi="宋体" w:hint="eastAsia"/>
                <w:kern w:val="0"/>
                <w:sz w:val="21"/>
                <w:szCs w:val="21"/>
              </w:rPr>
              <w:t>1</w:t>
            </w:r>
          </w:p>
        </w:tc>
        <w:tc>
          <w:tcPr>
            <w:tcW w:w="1380" w:type="dxa"/>
            <w:vAlign w:val="center"/>
          </w:tcPr>
          <w:p w14:paraId="39F333BE" w14:textId="77777777" w:rsidR="006D15F7" w:rsidRPr="007C6A51" w:rsidRDefault="006D15F7" w:rsidP="003B5DE7">
            <w:pPr>
              <w:jc w:val="center"/>
              <w:rPr>
                <w:rFonts w:ascii="Times New Roman" w:hAnsi="Times New Roman"/>
                <w:kern w:val="0"/>
                <w:sz w:val="21"/>
                <w:szCs w:val="21"/>
              </w:rPr>
            </w:pPr>
            <w:r w:rsidRPr="007C6A51">
              <w:rPr>
                <w:rFonts w:ascii="宋体" w:eastAsia="宋体" w:hAnsi="宋体" w:cs="宋体" w:hint="eastAsia"/>
                <w:kern w:val="0"/>
                <w:sz w:val="21"/>
                <w:szCs w:val="21"/>
              </w:rPr>
              <w:t>安全性能</w:t>
            </w:r>
          </w:p>
        </w:tc>
        <w:tc>
          <w:tcPr>
            <w:tcW w:w="1320" w:type="dxa"/>
            <w:vAlign w:val="center"/>
          </w:tcPr>
          <w:p w14:paraId="4214D691" w14:textId="77777777" w:rsidR="006D15F7" w:rsidRPr="007C6A51" w:rsidRDefault="006D15F7" w:rsidP="003B5DE7">
            <w:pPr>
              <w:jc w:val="center"/>
              <w:rPr>
                <w:rFonts w:ascii="Times New Roman" w:hAnsi="Times New Roman"/>
                <w:kern w:val="0"/>
                <w:sz w:val="21"/>
                <w:szCs w:val="21"/>
              </w:rPr>
            </w:pPr>
            <w:r w:rsidRPr="007C6A51">
              <w:rPr>
                <w:rFonts w:ascii="Times New Roman" w:hAnsi="Times New Roman" w:hint="eastAsia"/>
                <w:kern w:val="0"/>
                <w:sz w:val="21"/>
                <w:szCs w:val="21"/>
              </w:rPr>
              <w:t>市场需求</w:t>
            </w:r>
          </w:p>
        </w:tc>
        <w:tc>
          <w:tcPr>
            <w:tcW w:w="3570" w:type="dxa"/>
            <w:vAlign w:val="center"/>
          </w:tcPr>
          <w:p w14:paraId="34784AA6" w14:textId="77777777" w:rsidR="006D15F7" w:rsidRPr="007C6A51" w:rsidRDefault="006D15F7" w:rsidP="003B5DE7">
            <w:pPr>
              <w:widowControl/>
              <w:jc w:val="center"/>
              <w:rPr>
                <w:bCs/>
                <w:sz w:val="21"/>
                <w:szCs w:val="21"/>
              </w:rPr>
            </w:pPr>
            <w:r w:rsidRPr="007C6A51">
              <w:rPr>
                <w:rFonts w:ascii="宋体" w:eastAsia="宋体" w:hAnsi="宋体" w:cs="宋体" w:hint="eastAsia"/>
                <w:sz w:val="21"/>
                <w:szCs w:val="21"/>
              </w:rPr>
              <w:t>缓冲功能有效起到防止夹手</w:t>
            </w:r>
          </w:p>
        </w:tc>
        <w:tc>
          <w:tcPr>
            <w:tcW w:w="2655" w:type="dxa"/>
            <w:vAlign w:val="center"/>
          </w:tcPr>
          <w:p w14:paraId="05D49135" w14:textId="77777777" w:rsidR="006D15F7" w:rsidRPr="007C6A51" w:rsidRDefault="006D15F7" w:rsidP="003B5DE7">
            <w:pPr>
              <w:jc w:val="center"/>
              <w:rPr>
                <w:rFonts w:ascii="Times New Roman" w:hAnsi="Times New Roman"/>
                <w:sz w:val="21"/>
                <w:szCs w:val="21"/>
              </w:rPr>
            </w:pPr>
            <w:r w:rsidRPr="007C6A51">
              <w:rPr>
                <w:rFonts w:hint="eastAsia"/>
                <w:bCs/>
                <w:sz w:val="21"/>
                <w:szCs w:val="21"/>
              </w:rPr>
              <w:t>暂无</w:t>
            </w:r>
          </w:p>
        </w:tc>
      </w:tr>
      <w:tr w:rsidR="007C6A51" w:rsidRPr="007C6A51" w14:paraId="211FC8AC" w14:textId="77777777" w:rsidTr="003B5DE7">
        <w:trPr>
          <w:trHeight w:val="521"/>
        </w:trPr>
        <w:tc>
          <w:tcPr>
            <w:tcW w:w="385" w:type="dxa"/>
            <w:vAlign w:val="center"/>
          </w:tcPr>
          <w:p w14:paraId="357D12E4" w14:textId="77777777" w:rsidR="006D15F7" w:rsidRPr="007C6A51" w:rsidRDefault="006D15F7" w:rsidP="003B5DE7">
            <w:pPr>
              <w:jc w:val="center"/>
              <w:rPr>
                <w:rFonts w:ascii="宋体" w:hAnsi="宋体" w:hint="eastAsia"/>
                <w:kern w:val="0"/>
                <w:sz w:val="21"/>
                <w:szCs w:val="21"/>
              </w:rPr>
            </w:pPr>
            <w:r w:rsidRPr="007C6A51">
              <w:rPr>
                <w:rFonts w:ascii="宋体" w:hAnsi="宋体" w:hint="eastAsia"/>
                <w:kern w:val="0"/>
                <w:sz w:val="21"/>
                <w:szCs w:val="21"/>
              </w:rPr>
              <w:t>2</w:t>
            </w:r>
          </w:p>
        </w:tc>
        <w:tc>
          <w:tcPr>
            <w:tcW w:w="1380" w:type="dxa"/>
            <w:vAlign w:val="center"/>
          </w:tcPr>
          <w:p w14:paraId="1A4A72B9" w14:textId="77777777" w:rsidR="006D15F7" w:rsidRPr="007C6A51" w:rsidRDefault="006D15F7" w:rsidP="003B5DE7">
            <w:pPr>
              <w:jc w:val="center"/>
              <w:rPr>
                <w:rFonts w:ascii="Times New Roman" w:hAnsi="Times New Roman"/>
                <w:sz w:val="21"/>
                <w:szCs w:val="21"/>
              </w:rPr>
            </w:pPr>
            <w:r w:rsidRPr="007C6A51">
              <w:rPr>
                <w:rFonts w:ascii="宋体" w:eastAsia="宋体" w:hAnsi="宋体" w:cs="宋体" w:hint="eastAsia"/>
                <w:kern w:val="0"/>
                <w:sz w:val="21"/>
                <w:szCs w:val="21"/>
              </w:rPr>
              <w:t>调节功能</w:t>
            </w:r>
          </w:p>
        </w:tc>
        <w:tc>
          <w:tcPr>
            <w:tcW w:w="1320" w:type="dxa"/>
            <w:vAlign w:val="center"/>
          </w:tcPr>
          <w:p w14:paraId="351FD808" w14:textId="77777777" w:rsidR="006D15F7" w:rsidRPr="007C6A51" w:rsidRDefault="006D15F7" w:rsidP="003B5DE7">
            <w:pPr>
              <w:jc w:val="center"/>
              <w:rPr>
                <w:rFonts w:ascii="Times New Roman" w:hAnsi="Times New Roman"/>
                <w:kern w:val="0"/>
                <w:sz w:val="21"/>
                <w:szCs w:val="21"/>
              </w:rPr>
            </w:pPr>
            <w:r w:rsidRPr="007C6A51">
              <w:rPr>
                <w:rFonts w:ascii="Times New Roman" w:hAnsi="Times New Roman" w:hint="eastAsia"/>
                <w:kern w:val="0"/>
                <w:sz w:val="21"/>
                <w:szCs w:val="21"/>
              </w:rPr>
              <w:t>市场需求</w:t>
            </w:r>
          </w:p>
        </w:tc>
        <w:tc>
          <w:tcPr>
            <w:tcW w:w="3570" w:type="dxa"/>
            <w:vAlign w:val="center"/>
          </w:tcPr>
          <w:p w14:paraId="21AF86EC" w14:textId="77777777" w:rsidR="006D15F7" w:rsidRPr="007C6A51" w:rsidRDefault="006D15F7" w:rsidP="003B5DE7">
            <w:pPr>
              <w:jc w:val="center"/>
              <w:rPr>
                <w:rFonts w:ascii="Times New Roman" w:hAnsi="Times New Roman"/>
                <w:kern w:val="0"/>
                <w:sz w:val="21"/>
                <w:szCs w:val="21"/>
              </w:rPr>
            </w:pPr>
            <w:r w:rsidRPr="007C6A51">
              <w:rPr>
                <w:rFonts w:ascii="宋体" w:eastAsia="宋体" w:hAnsi="宋体" w:cs="宋体" w:hint="eastAsia"/>
                <w:kern w:val="0"/>
                <w:sz w:val="21"/>
                <w:szCs w:val="21"/>
              </w:rPr>
              <w:t>上下/左右调节,方便用户使用调节</w:t>
            </w:r>
          </w:p>
        </w:tc>
        <w:tc>
          <w:tcPr>
            <w:tcW w:w="2655" w:type="dxa"/>
            <w:vAlign w:val="center"/>
          </w:tcPr>
          <w:p w14:paraId="65D7C14E" w14:textId="77777777" w:rsidR="006D15F7" w:rsidRPr="007C6A51" w:rsidRDefault="006D15F7" w:rsidP="003B5DE7">
            <w:pPr>
              <w:jc w:val="center"/>
              <w:rPr>
                <w:rFonts w:ascii="Times New Roman" w:hAnsi="Times New Roman"/>
                <w:kern w:val="0"/>
                <w:sz w:val="21"/>
                <w:szCs w:val="21"/>
              </w:rPr>
            </w:pPr>
            <w:r w:rsidRPr="007C6A51">
              <w:rPr>
                <w:rFonts w:ascii="Times New Roman" w:hAnsi="Times New Roman" w:hint="eastAsia"/>
                <w:kern w:val="0"/>
                <w:sz w:val="21"/>
                <w:szCs w:val="21"/>
              </w:rPr>
              <w:t>暂无</w:t>
            </w:r>
          </w:p>
        </w:tc>
      </w:tr>
      <w:tr w:rsidR="007C6A51" w:rsidRPr="007C6A51" w14:paraId="3F5B70AF" w14:textId="77777777" w:rsidTr="003B5DE7">
        <w:trPr>
          <w:trHeight w:val="504"/>
        </w:trPr>
        <w:tc>
          <w:tcPr>
            <w:tcW w:w="385" w:type="dxa"/>
            <w:vAlign w:val="center"/>
          </w:tcPr>
          <w:p w14:paraId="5B622136" w14:textId="77777777" w:rsidR="006D15F7" w:rsidRPr="007C6A51" w:rsidRDefault="006D15F7" w:rsidP="003B5DE7">
            <w:pPr>
              <w:jc w:val="center"/>
              <w:rPr>
                <w:sz w:val="21"/>
                <w:szCs w:val="21"/>
              </w:rPr>
            </w:pPr>
            <w:r w:rsidRPr="007C6A51">
              <w:rPr>
                <w:rFonts w:hint="eastAsia"/>
                <w:sz w:val="21"/>
                <w:szCs w:val="21"/>
              </w:rPr>
              <w:t>3</w:t>
            </w:r>
          </w:p>
        </w:tc>
        <w:tc>
          <w:tcPr>
            <w:tcW w:w="1380" w:type="dxa"/>
            <w:vAlign w:val="center"/>
          </w:tcPr>
          <w:p w14:paraId="5EA0ED55" w14:textId="77777777" w:rsidR="006D15F7" w:rsidRPr="007C6A51" w:rsidRDefault="006D15F7" w:rsidP="003B5DE7">
            <w:pPr>
              <w:jc w:val="center"/>
              <w:rPr>
                <w:sz w:val="21"/>
                <w:szCs w:val="21"/>
              </w:rPr>
            </w:pPr>
            <w:r w:rsidRPr="007C6A51">
              <w:rPr>
                <w:rFonts w:ascii="宋体" w:eastAsia="宋体" w:hAnsi="宋体" w:cs="宋体" w:hint="eastAsia"/>
                <w:kern w:val="0"/>
                <w:sz w:val="21"/>
                <w:szCs w:val="21"/>
              </w:rPr>
              <w:t>快速拆装功能</w:t>
            </w:r>
          </w:p>
        </w:tc>
        <w:tc>
          <w:tcPr>
            <w:tcW w:w="1320" w:type="dxa"/>
            <w:vAlign w:val="center"/>
          </w:tcPr>
          <w:p w14:paraId="5EBDB21D" w14:textId="77777777" w:rsidR="006D15F7" w:rsidRPr="007C6A51" w:rsidRDefault="006D15F7" w:rsidP="003B5DE7">
            <w:pPr>
              <w:jc w:val="center"/>
              <w:rPr>
                <w:sz w:val="21"/>
                <w:szCs w:val="21"/>
              </w:rPr>
            </w:pPr>
            <w:r w:rsidRPr="007C6A51">
              <w:rPr>
                <w:rFonts w:ascii="Times New Roman" w:hAnsi="Times New Roman" w:hint="eastAsia"/>
                <w:kern w:val="0"/>
                <w:sz w:val="21"/>
                <w:szCs w:val="21"/>
              </w:rPr>
              <w:t>市场需求</w:t>
            </w:r>
          </w:p>
        </w:tc>
        <w:tc>
          <w:tcPr>
            <w:tcW w:w="3570" w:type="dxa"/>
            <w:vAlign w:val="center"/>
          </w:tcPr>
          <w:p w14:paraId="2E66F361" w14:textId="77777777" w:rsidR="006D15F7" w:rsidRPr="007C6A51" w:rsidRDefault="006D15F7" w:rsidP="003B5DE7">
            <w:pPr>
              <w:jc w:val="center"/>
              <w:rPr>
                <w:sz w:val="21"/>
                <w:szCs w:val="21"/>
              </w:rPr>
            </w:pPr>
            <w:r w:rsidRPr="007C6A51">
              <w:rPr>
                <w:rFonts w:ascii="宋体" w:eastAsia="宋体" w:hAnsi="宋体" w:cs="宋体" w:hint="eastAsia"/>
                <w:kern w:val="0"/>
                <w:sz w:val="21"/>
                <w:szCs w:val="21"/>
              </w:rPr>
              <w:t>抽屉免用工具快速拆装,方便清洁</w:t>
            </w:r>
          </w:p>
        </w:tc>
        <w:tc>
          <w:tcPr>
            <w:tcW w:w="2655" w:type="dxa"/>
            <w:vAlign w:val="center"/>
          </w:tcPr>
          <w:p w14:paraId="3E9398D8" w14:textId="77777777" w:rsidR="006D15F7" w:rsidRPr="007C6A51" w:rsidRDefault="006D15F7" w:rsidP="003B5DE7">
            <w:pPr>
              <w:jc w:val="center"/>
              <w:rPr>
                <w:sz w:val="21"/>
                <w:szCs w:val="21"/>
              </w:rPr>
            </w:pPr>
            <w:r w:rsidRPr="007C6A51">
              <w:rPr>
                <w:rFonts w:ascii="Times New Roman" w:hAnsi="Times New Roman" w:hint="eastAsia"/>
                <w:kern w:val="0"/>
                <w:sz w:val="21"/>
                <w:szCs w:val="21"/>
              </w:rPr>
              <w:t>暂无</w:t>
            </w:r>
          </w:p>
        </w:tc>
      </w:tr>
      <w:tr w:rsidR="007C6A51" w:rsidRPr="007C6A51" w14:paraId="039C4AD8" w14:textId="77777777" w:rsidTr="003B5DE7">
        <w:trPr>
          <w:trHeight w:val="504"/>
        </w:trPr>
        <w:tc>
          <w:tcPr>
            <w:tcW w:w="385" w:type="dxa"/>
            <w:vAlign w:val="center"/>
          </w:tcPr>
          <w:p w14:paraId="31FEB7BA" w14:textId="77777777" w:rsidR="006D15F7" w:rsidRPr="007C6A51" w:rsidRDefault="006D15F7" w:rsidP="003B5DE7">
            <w:pPr>
              <w:jc w:val="center"/>
              <w:rPr>
                <w:sz w:val="21"/>
                <w:szCs w:val="21"/>
              </w:rPr>
            </w:pPr>
            <w:r w:rsidRPr="007C6A51">
              <w:rPr>
                <w:rFonts w:hint="eastAsia"/>
                <w:sz w:val="21"/>
                <w:szCs w:val="21"/>
              </w:rPr>
              <w:t>4</w:t>
            </w:r>
          </w:p>
        </w:tc>
        <w:tc>
          <w:tcPr>
            <w:tcW w:w="1380" w:type="dxa"/>
            <w:vAlign w:val="center"/>
          </w:tcPr>
          <w:p w14:paraId="13DB1F5C" w14:textId="77777777" w:rsidR="006D15F7" w:rsidRPr="007C6A51" w:rsidRDefault="006D15F7" w:rsidP="003B5DE7">
            <w:pPr>
              <w:jc w:val="center"/>
              <w:rPr>
                <w:rFonts w:ascii="宋体" w:eastAsia="宋体" w:hAnsi="宋体" w:cs="宋体" w:hint="eastAsia"/>
                <w:kern w:val="0"/>
                <w:sz w:val="21"/>
                <w:szCs w:val="21"/>
              </w:rPr>
            </w:pPr>
            <w:r w:rsidRPr="007C6A51">
              <w:rPr>
                <w:rFonts w:ascii="宋体" w:eastAsia="宋体" w:hAnsi="宋体" w:cs="宋体" w:hint="eastAsia"/>
                <w:kern w:val="0"/>
                <w:sz w:val="18"/>
                <w:szCs w:val="18"/>
              </w:rPr>
              <w:t>操作力</w:t>
            </w:r>
          </w:p>
        </w:tc>
        <w:tc>
          <w:tcPr>
            <w:tcW w:w="1320" w:type="dxa"/>
            <w:vAlign w:val="center"/>
          </w:tcPr>
          <w:p w14:paraId="584EB628" w14:textId="77777777" w:rsidR="006D15F7" w:rsidRPr="007C6A51" w:rsidRDefault="006D15F7" w:rsidP="003B5DE7">
            <w:pPr>
              <w:jc w:val="center"/>
              <w:rPr>
                <w:rFonts w:ascii="Times New Roman" w:hAnsi="Times New Roman"/>
                <w:kern w:val="0"/>
                <w:sz w:val="21"/>
                <w:szCs w:val="21"/>
              </w:rPr>
            </w:pPr>
            <w:r w:rsidRPr="007C6A51">
              <w:rPr>
                <w:rFonts w:ascii="宋体" w:eastAsia="宋体" w:hAnsi="宋体" w:cs="宋体" w:hint="eastAsia"/>
                <w:bCs/>
                <w:sz w:val="18"/>
                <w:szCs w:val="18"/>
              </w:rPr>
              <w:t>QB/T 2454-2013</w:t>
            </w:r>
          </w:p>
        </w:tc>
        <w:tc>
          <w:tcPr>
            <w:tcW w:w="3570" w:type="dxa"/>
            <w:vAlign w:val="center"/>
          </w:tcPr>
          <w:p w14:paraId="5EAEFD0A" w14:textId="77777777" w:rsidR="006D15F7" w:rsidRPr="007C6A51" w:rsidRDefault="006D15F7" w:rsidP="003B5DE7">
            <w:pPr>
              <w:rPr>
                <w:rFonts w:ascii="宋体" w:eastAsia="宋体" w:hAnsi="宋体" w:cs="宋体" w:hint="eastAsia"/>
                <w:bCs/>
                <w:kern w:val="0"/>
                <w:sz w:val="18"/>
                <w:szCs w:val="18"/>
              </w:rPr>
            </w:pPr>
            <w:r w:rsidRPr="007C6A51">
              <w:rPr>
                <w:rFonts w:ascii="宋体" w:eastAsia="宋体" w:hAnsi="宋体" w:cs="宋体" w:hint="eastAsia"/>
                <w:bCs/>
                <w:kern w:val="0"/>
                <w:sz w:val="18"/>
                <w:szCs w:val="18"/>
              </w:rPr>
              <w:t>当M＜40 kg时，推力或拉力≤50 N；</w:t>
            </w:r>
          </w:p>
          <w:p w14:paraId="7A2E40AC" w14:textId="77777777" w:rsidR="006D15F7" w:rsidRPr="007C6A51" w:rsidRDefault="006D15F7" w:rsidP="003B5DE7">
            <w:pPr>
              <w:jc w:val="center"/>
              <w:rPr>
                <w:rFonts w:ascii="宋体" w:eastAsia="宋体" w:hAnsi="宋体" w:cs="宋体" w:hint="eastAsia"/>
                <w:kern w:val="0"/>
                <w:sz w:val="21"/>
                <w:szCs w:val="21"/>
              </w:rPr>
            </w:pPr>
            <w:r w:rsidRPr="007C6A51">
              <w:rPr>
                <w:rFonts w:ascii="宋体" w:eastAsia="宋体" w:hAnsi="宋体" w:cs="宋体" w:hint="eastAsia"/>
                <w:bCs/>
                <w:kern w:val="0"/>
                <w:sz w:val="18"/>
                <w:szCs w:val="18"/>
              </w:rPr>
              <w:t>当M≥40 kg时，推力或拉力≤0.125M；</w:t>
            </w:r>
          </w:p>
        </w:tc>
        <w:tc>
          <w:tcPr>
            <w:tcW w:w="2655" w:type="dxa"/>
            <w:vAlign w:val="center"/>
          </w:tcPr>
          <w:p w14:paraId="5B73F0BB" w14:textId="77777777" w:rsidR="006D15F7" w:rsidRPr="007C6A51" w:rsidRDefault="006D15F7" w:rsidP="003B5DE7">
            <w:pPr>
              <w:snapToGrid w:val="0"/>
              <w:jc w:val="center"/>
              <w:rPr>
                <w:rFonts w:ascii="宋体" w:eastAsia="宋体" w:hAnsi="宋体" w:cs="宋体" w:hint="eastAsia"/>
                <w:bCs/>
                <w:sz w:val="18"/>
                <w:szCs w:val="18"/>
              </w:rPr>
            </w:pPr>
            <w:r w:rsidRPr="007C6A51">
              <w:rPr>
                <w:rFonts w:hint="eastAsia"/>
                <w:sz w:val="18"/>
                <w:szCs w:val="18"/>
              </w:rPr>
              <w:t>引用的</w:t>
            </w:r>
            <w:r w:rsidRPr="007C6A51">
              <w:rPr>
                <w:rFonts w:ascii="宋体" w:eastAsia="宋体" w:hAnsi="宋体" w:cs="宋体" w:hint="eastAsia"/>
                <w:bCs/>
                <w:sz w:val="18"/>
                <w:szCs w:val="18"/>
              </w:rPr>
              <w:t>QB/T 2454-2013</w:t>
            </w:r>
          </w:p>
          <w:p w14:paraId="09E725A8" w14:textId="77777777" w:rsidR="006D15F7" w:rsidRPr="007C6A51" w:rsidRDefault="006D15F7" w:rsidP="003B5DE7">
            <w:pPr>
              <w:jc w:val="center"/>
              <w:rPr>
                <w:rFonts w:ascii="Times New Roman" w:eastAsia="宋体" w:hAnsi="Times New Roman"/>
                <w:kern w:val="0"/>
                <w:sz w:val="21"/>
                <w:szCs w:val="21"/>
              </w:rPr>
            </w:pPr>
            <w:r w:rsidRPr="007C6A51">
              <w:rPr>
                <w:rFonts w:ascii="宋体" w:eastAsia="宋体" w:hAnsi="宋体" w:cs="宋体" w:hint="eastAsia"/>
                <w:bCs/>
                <w:sz w:val="18"/>
                <w:szCs w:val="18"/>
              </w:rPr>
              <w:t>5.5.3</w:t>
            </w:r>
            <w:r w:rsidRPr="007C6A51">
              <w:rPr>
                <w:rFonts w:hint="eastAsia"/>
                <w:sz w:val="18"/>
                <w:szCs w:val="18"/>
              </w:rPr>
              <w:t>实验方法</w:t>
            </w:r>
          </w:p>
        </w:tc>
      </w:tr>
      <w:tr w:rsidR="007C6A51" w:rsidRPr="007C6A51" w14:paraId="5D76DCEA" w14:textId="77777777" w:rsidTr="003B5DE7">
        <w:trPr>
          <w:trHeight w:val="504"/>
        </w:trPr>
        <w:tc>
          <w:tcPr>
            <w:tcW w:w="385" w:type="dxa"/>
            <w:vAlign w:val="center"/>
          </w:tcPr>
          <w:p w14:paraId="1DEFE569" w14:textId="77777777" w:rsidR="006D15F7" w:rsidRPr="007C6A51" w:rsidRDefault="006D15F7" w:rsidP="003B5DE7">
            <w:pPr>
              <w:jc w:val="center"/>
              <w:rPr>
                <w:sz w:val="21"/>
                <w:szCs w:val="21"/>
              </w:rPr>
            </w:pPr>
            <w:r w:rsidRPr="007C6A51">
              <w:rPr>
                <w:rFonts w:hint="eastAsia"/>
                <w:sz w:val="21"/>
                <w:szCs w:val="21"/>
              </w:rPr>
              <w:lastRenderedPageBreak/>
              <w:t>5</w:t>
            </w:r>
          </w:p>
        </w:tc>
        <w:tc>
          <w:tcPr>
            <w:tcW w:w="1380" w:type="dxa"/>
            <w:vAlign w:val="center"/>
          </w:tcPr>
          <w:p w14:paraId="1740B5AE" w14:textId="77777777" w:rsidR="006D15F7" w:rsidRPr="007C6A51" w:rsidRDefault="006D15F7" w:rsidP="003B5DE7">
            <w:pPr>
              <w:jc w:val="center"/>
              <w:rPr>
                <w:rFonts w:ascii="宋体" w:eastAsia="宋体" w:hAnsi="宋体" w:cs="宋体" w:hint="eastAsia"/>
                <w:kern w:val="0"/>
                <w:sz w:val="18"/>
                <w:szCs w:val="18"/>
              </w:rPr>
            </w:pPr>
            <w:r w:rsidRPr="007C6A51">
              <w:rPr>
                <w:rFonts w:ascii="宋体" w:eastAsia="宋体" w:hAnsi="宋体" w:cs="宋体" w:hint="eastAsia"/>
                <w:kern w:val="0"/>
                <w:sz w:val="18"/>
                <w:szCs w:val="18"/>
              </w:rPr>
              <w:t>抽屉导轨组件底部变形</w:t>
            </w:r>
          </w:p>
        </w:tc>
        <w:tc>
          <w:tcPr>
            <w:tcW w:w="1320" w:type="dxa"/>
            <w:vMerge w:val="restart"/>
            <w:vAlign w:val="center"/>
          </w:tcPr>
          <w:p w14:paraId="28868118" w14:textId="77777777" w:rsidR="006D15F7" w:rsidRPr="007C6A51" w:rsidRDefault="006D15F7" w:rsidP="003B5DE7">
            <w:pPr>
              <w:jc w:val="center"/>
              <w:rPr>
                <w:rFonts w:ascii="宋体" w:eastAsia="宋体" w:hAnsi="宋体" w:cs="宋体" w:hint="eastAsia"/>
                <w:bCs/>
                <w:sz w:val="18"/>
                <w:szCs w:val="18"/>
              </w:rPr>
            </w:pPr>
            <w:r w:rsidRPr="007C6A51">
              <w:rPr>
                <w:rFonts w:ascii="宋体" w:eastAsia="宋体" w:hAnsi="宋体" w:cs="宋体" w:hint="eastAsia"/>
                <w:bCs/>
                <w:sz w:val="18"/>
                <w:szCs w:val="18"/>
              </w:rPr>
              <w:t>QB/T 2454-2013</w:t>
            </w:r>
          </w:p>
        </w:tc>
        <w:tc>
          <w:tcPr>
            <w:tcW w:w="3570" w:type="dxa"/>
            <w:vAlign w:val="center"/>
          </w:tcPr>
          <w:p w14:paraId="4B1347FD" w14:textId="77777777" w:rsidR="006D15F7" w:rsidRPr="007C6A51" w:rsidRDefault="006D15F7" w:rsidP="003B5DE7">
            <w:pPr>
              <w:jc w:val="center"/>
              <w:rPr>
                <w:rFonts w:ascii="宋体" w:eastAsia="宋体" w:hAnsi="宋体" w:cs="宋体" w:hint="eastAsia"/>
                <w:bCs/>
                <w:kern w:val="0"/>
                <w:sz w:val="18"/>
                <w:szCs w:val="18"/>
              </w:rPr>
            </w:pPr>
            <w:r w:rsidRPr="007C6A51">
              <w:rPr>
                <w:rFonts w:ascii="宋体" w:eastAsia="宋体" w:hAnsi="宋体" w:cs="宋体" w:hint="eastAsia"/>
                <w:bCs/>
                <w:kern w:val="0"/>
                <w:sz w:val="18"/>
                <w:szCs w:val="18"/>
              </w:rPr>
              <w:t>变形量不应超过内部尺寸（宽度和深度）最窄部分的1/75</w:t>
            </w:r>
          </w:p>
        </w:tc>
        <w:tc>
          <w:tcPr>
            <w:tcW w:w="2655" w:type="dxa"/>
            <w:vAlign w:val="center"/>
          </w:tcPr>
          <w:p w14:paraId="3DBD9FAF" w14:textId="77777777" w:rsidR="006D15F7" w:rsidRPr="007C6A51" w:rsidRDefault="006D15F7" w:rsidP="003B5DE7">
            <w:pPr>
              <w:snapToGrid w:val="0"/>
              <w:jc w:val="center"/>
              <w:rPr>
                <w:rFonts w:ascii="宋体" w:eastAsia="宋体" w:hAnsi="宋体" w:cs="宋体" w:hint="eastAsia"/>
                <w:bCs/>
                <w:sz w:val="18"/>
                <w:szCs w:val="18"/>
              </w:rPr>
            </w:pPr>
            <w:r w:rsidRPr="007C6A51">
              <w:rPr>
                <w:rFonts w:hint="eastAsia"/>
                <w:sz w:val="18"/>
                <w:szCs w:val="18"/>
              </w:rPr>
              <w:t>引用的</w:t>
            </w:r>
            <w:r w:rsidRPr="007C6A51">
              <w:rPr>
                <w:rFonts w:ascii="宋体" w:eastAsia="宋体" w:hAnsi="宋体" w:cs="宋体" w:hint="eastAsia"/>
                <w:bCs/>
                <w:sz w:val="18"/>
                <w:szCs w:val="18"/>
              </w:rPr>
              <w:t>QB/T 2454-2013</w:t>
            </w:r>
          </w:p>
          <w:p w14:paraId="2EA3D032" w14:textId="77777777" w:rsidR="006D15F7" w:rsidRPr="007C6A51" w:rsidRDefault="006D15F7" w:rsidP="003B5DE7">
            <w:pPr>
              <w:jc w:val="center"/>
              <w:rPr>
                <w:rFonts w:ascii="宋体" w:eastAsia="宋体" w:hAnsi="宋体" w:cs="宋体" w:hint="eastAsia"/>
                <w:bCs/>
                <w:sz w:val="18"/>
                <w:szCs w:val="18"/>
              </w:rPr>
            </w:pPr>
            <w:r w:rsidRPr="007C6A51">
              <w:rPr>
                <w:rFonts w:ascii="宋体" w:eastAsia="宋体" w:hAnsi="宋体" w:cs="宋体" w:hint="eastAsia"/>
                <w:bCs/>
                <w:sz w:val="18"/>
                <w:szCs w:val="18"/>
              </w:rPr>
              <w:t>5.5.1</w:t>
            </w:r>
            <w:r w:rsidRPr="007C6A51">
              <w:rPr>
                <w:rFonts w:hint="eastAsia"/>
                <w:sz w:val="18"/>
                <w:szCs w:val="18"/>
              </w:rPr>
              <w:t>实验方法</w:t>
            </w:r>
          </w:p>
        </w:tc>
      </w:tr>
      <w:tr w:rsidR="007C6A51" w:rsidRPr="007C6A51" w14:paraId="68FFF5C2" w14:textId="77777777" w:rsidTr="003B5DE7">
        <w:trPr>
          <w:trHeight w:val="504"/>
        </w:trPr>
        <w:tc>
          <w:tcPr>
            <w:tcW w:w="385" w:type="dxa"/>
            <w:vAlign w:val="center"/>
          </w:tcPr>
          <w:p w14:paraId="3405D32D" w14:textId="77777777" w:rsidR="006D15F7" w:rsidRPr="007C6A51" w:rsidRDefault="006D15F7" w:rsidP="003B5DE7">
            <w:pPr>
              <w:jc w:val="center"/>
              <w:rPr>
                <w:sz w:val="21"/>
                <w:szCs w:val="21"/>
              </w:rPr>
            </w:pPr>
            <w:r w:rsidRPr="007C6A51">
              <w:rPr>
                <w:rFonts w:hint="eastAsia"/>
                <w:sz w:val="21"/>
                <w:szCs w:val="21"/>
              </w:rPr>
              <w:t>6</w:t>
            </w:r>
          </w:p>
        </w:tc>
        <w:tc>
          <w:tcPr>
            <w:tcW w:w="1380" w:type="dxa"/>
            <w:vAlign w:val="center"/>
          </w:tcPr>
          <w:p w14:paraId="5E833AD7" w14:textId="77777777" w:rsidR="006D15F7" w:rsidRPr="007C6A51" w:rsidRDefault="006D15F7" w:rsidP="003B5DE7">
            <w:pPr>
              <w:jc w:val="center"/>
              <w:rPr>
                <w:rFonts w:ascii="宋体" w:eastAsia="宋体" w:hAnsi="宋体" w:cs="宋体" w:hint="eastAsia"/>
                <w:kern w:val="0"/>
                <w:sz w:val="18"/>
                <w:szCs w:val="18"/>
              </w:rPr>
            </w:pPr>
            <w:r w:rsidRPr="007C6A51">
              <w:rPr>
                <w:rFonts w:ascii="宋体" w:eastAsia="宋体" w:hAnsi="宋体" w:cs="宋体" w:hint="eastAsia"/>
                <w:kern w:val="0"/>
                <w:sz w:val="18"/>
                <w:szCs w:val="18"/>
              </w:rPr>
              <w:t>下沉量</w:t>
            </w:r>
          </w:p>
        </w:tc>
        <w:tc>
          <w:tcPr>
            <w:tcW w:w="1320" w:type="dxa"/>
            <w:vMerge/>
            <w:vAlign w:val="center"/>
          </w:tcPr>
          <w:p w14:paraId="6B752D9C" w14:textId="77777777" w:rsidR="006D15F7" w:rsidRPr="007C6A51" w:rsidRDefault="006D15F7" w:rsidP="003B5DE7">
            <w:pPr>
              <w:jc w:val="center"/>
              <w:rPr>
                <w:rFonts w:ascii="宋体" w:eastAsia="宋体" w:hAnsi="宋体" w:cs="宋体" w:hint="eastAsia"/>
                <w:bCs/>
                <w:sz w:val="18"/>
                <w:szCs w:val="18"/>
              </w:rPr>
            </w:pPr>
          </w:p>
        </w:tc>
        <w:tc>
          <w:tcPr>
            <w:tcW w:w="3570" w:type="dxa"/>
            <w:vAlign w:val="center"/>
          </w:tcPr>
          <w:p w14:paraId="09639BE8" w14:textId="77777777" w:rsidR="006D15F7" w:rsidRPr="007C6A51" w:rsidRDefault="006D15F7" w:rsidP="003B5DE7">
            <w:pPr>
              <w:jc w:val="center"/>
              <w:rPr>
                <w:rFonts w:ascii="宋体" w:eastAsia="宋体" w:hAnsi="宋体" w:cs="宋体" w:hint="eastAsia"/>
                <w:bCs/>
                <w:kern w:val="0"/>
                <w:sz w:val="18"/>
                <w:szCs w:val="18"/>
              </w:rPr>
            </w:pPr>
            <w:r w:rsidRPr="007C6A51">
              <w:rPr>
                <w:rFonts w:ascii="宋体" w:eastAsia="宋体" w:hAnsi="宋体" w:cs="宋体" w:hint="eastAsia"/>
                <w:bCs/>
                <w:kern w:val="0"/>
                <w:sz w:val="18"/>
                <w:szCs w:val="18"/>
              </w:rPr>
              <w:t>下沉量不应超过抽屉导轨拉出长度的4%</w:t>
            </w:r>
          </w:p>
        </w:tc>
        <w:tc>
          <w:tcPr>
            <w:tcW w:w="2655" w:type="dxa"/>
            <w:vAlign w:val="center"/>
          </w:tcPr>
          <w:p w14:paraId="4D60CBDA" w14:textId="77777777" w:rsidR="006D15F7" w:rsidRPr="007C6A51" w:rsidRDefault="006D15F7" w:rsidP="003B5DE7">
            <w:pPr>
              <w:snapToGrid w:val="0"/>
              <w:jc w:val="center"/>
              <w:rPr>
                <w:rFonts w:ascii="宋体" w:eastAsia="宋体" w:hAnsi="宋体" w:cs="宋体" w:hint="eastAsia"/>
                <w:bCs/>
                <w:sz w:val="18"/>
                <w:szCs w:val="18"/>
              </w:rPr>
            </w:pPr>
            <w:r w:rsidRPr="007C6A51">
              <w:rPr>
                <w:rFonts w:hint="eastAsia"/>
                <w:sz w:val="18"/>
                <w:szCs w:val="18"/>
              </w:rPr>
              <w:t>引用的</w:t>
            </w:r>
            <w:r w:rsidRPr="007C6A51">
              <w:rPr>
                <w:rFonts w:ascii="宋体" w:eastAsia="宋体" w:hAnsi="宋体" w:cs="宋体" w:hint="eastAsia"/>
                <w:bCs/>
                <w:sz w:val="18"/>
                <w:szCs w:val="18"/>
              </w:rPr>
              <w:t>QB/T 2454-2013</w:t>
            </w:r>
          </w:p>
          <w:p w14:paraId="1579495B" w14:textId="77777777" w:rsidR="006D15F7" w:rsidRPr="007C6A51" w:rsidRDefault="006D15F7" w:rsidP="003B5DE7">
            <w:pPr>
              <w:jc w:val="center"/>
              <w:rPr>
                <w:rFonts w:ascii="宋体" w:eastAsia="宋体" w:hAnsi="宋体" w:cs="宋体" w:hint="eastAsia"/>
                <w:bCs/>
                <w:sz w:val="18"/>
                <w:szCs w:val="18"/>
              </w:rPr>
            </w:pPr>
            <w:r w:rsidRPr="007C6A51">
              <w:rPr>
                <w:rFonts w:ascii="宋体" w:eastAsia="宋体" w:hAnsi="宋体" w:cs="宋体" w:hint="eastAsia"/>
                <w:bCs/>
                <w:sz w:val="18"/>
                <w:szCs w:val="18"/>
              </w:rPr>
              <w:t>5.5.5</w:t>
            </w:r>
            <w:r w:rsidRPr="007C6A51">
              <w:rPr>
                <w:rFonts w:hint="eastAsia"/>
                <w:sz w:val="18"/>
                <w:szCs w:val="18"/>
              </w:rPr>
              <w:t>实验方法</w:t>
            </w:r>
          </w:p>
        </w:tc>
      </w:tr>
      <w:tr w:rsidR="007C6A51" w:rsidRPr="007C6A51" w14:paraId="409AE1CE" w14:textId="77777777" w:rsidTr="003B5DE7">
        <w:trPr>
          <w:trHeight w:val="504"/>
        </w:trPr>
        <w:tc>
          <w:tcPr>
            <w:tcW w:w="385" w:type="dxa"/>
            <w:vAlign w:val="center"/>
          </w:tcPr>
          <w:p w14:paraId="3E83FB2D" w14:textId="77777777" w:rsidR="006D15F7" w:rsidRPr="007C6A51" w:rsidRDefault="006D15F7" w:rsidP="003B5DE7">
            <w:pPr>
              <w:jc w:val="center"/>
              <w:rPr>
                <w:sz w:val="21"/>
                <w:szCs w:val="21"/>
              </w:rPr>
            </w:pPr>
            <w:r w:rsidRPr="007C6A51">
              <w:rPr>
                <w:rFonts w:hint="eastAsia"/>
                <w:sz w:val="21"/>
                <w:szCs w:val="21"/>
              </w:rPr>
              <w:t>7</w:t>
            </w:r>
          </w:p>
        </w:tc>
        <w:tc>
          <w:tcPr>
            <w:tcW w:w="1380" w:type="dxa"/>
            <w:vAlign w:val="center"/>
          </w:tcPr>
          <w:p w14:paraId="6847D62C" w14:textId="77777777" w:rsidR="006D15F7" w:rsidRPr="007C6A51" w:rsidRDefault="006D15F7" w:rsidP="003B5DE7">
            <w:pPr>
              <w:jc w:val="center"/>
              <w:rPr>
                <w:rFonts w:ascii="宋体" w:eastAsia="宋体" w:hAnsi="宋体" w:cs="宋体" w:hint="eastAsia"/>
                <w:kern w:val="0"/>
                <w:sz w:val="18"/>
                <w:szCs w:val="18"/>
              </w:rPr>
            </w:pPr>
            <w:r w:rsidRPr="007C6A51">
              <w:rPr>
                <w:rFonts w:ascii="宋体" w:eastAsia="宋体" w:hAnsi="宋体" w:cs="宋体" w:hint="eastAsia"/>
                <w:kern w:val="0"/>
                <w:sz w:val="18"/>
                <w:szCs w:val="18"/>
              </w:rPr>
              <w:t>寿命测试</w:t>
            </w:r>
          </w:p>
        </w:tc>
        <w:tc>
          <w:tcPr>
            <w:tcW w:w="1320" w:type="dxa"/>
            <w:vMerge/>
            <w:vAlign w:val="center"/>
          </w:tcPr>
          <w:p w14:paraId="26F0343F" w14:textId="77777777" w:rsidR="006D15F7" w:rsidRPr="007C6A51" w:rsidRDefault="006D15F7" w:rsidP="003B5DE7">
            <w:pPr>
              <w:jc w:val="center"/>
              <w:rPr>
                <w:rFonts w:ascii="宋体" w:eastAsia="宋体" w:hAnsi="宋体" w:cs="宋体" w:hint="eastAsia"/>
                <w:bCs/>
                <w:sz w:val="18"/>
                <w:szCs w:val="18"/>
              </w:rPr>
            </w:pPr>
          </w:p>
        </w:tc>
        <w:tc>
          <w:tcPr>
            <w:tcW w:w="3570" w:type="dxa"/>
            <w:vAlign w:val="center"/>
          </w:tcPr>
          <w:p w14:paraId="68111BB1" w14:textId="77777777" w:rsidR="006D15F7" w:rsidRPr="007C6A51" w:rsidRDefault="006D15F7" w:rsidP="003B5DE7">
            <w:pPr>
              <w:jc w:val="center"/>
              <w:rPr>
                <w:rFonts w:ascii="宋体" w:eastAsia="宋体" w:hAnsi="宋体" w:cs="宋体" w:hint="eastAsia"/>
                <w:bCs/>
                <w:kern w:val="0"/>
                <w:sz w:val="18"/>
                <w:szCs w:val="18"/>
              </w:rPr>
            </w:pPr>
            <w:r w:rsidRPr="007C6A51">
              <w:rPr>
                <w:rFonts w:ascii="宋体" w:eastAsia="宋体" w:hAnsi="宋体" w:cs="宋体" w:hint="eastAsia"/>
                <w:bCs/>
                <w:kern w:val="0"/>
                <w:sz w:val="18"/>
                <w:szCs w:val="18"/>
              </w:rPr>
              <w:t>按标准进行寿命测试后，导轨</w:t>
            </w:r>
            <w:r w:rsidRPr="007C6A51">
              <w:rPr>
                <w:rFonts w:asciiTheme="minorEastAsia" w:hAnsiTheme="minorEastAsia" w:cs="黑体" w:hint="eastAsia"/>
                <w:kern w:val="0"/>
                <w:sz w:val="18"/>
                <w:szCs w:val="18"/>
              </w:rPr>
              <w:t>能正常闭合，无功能性损坏</w:t>
            </w:r>
          </w:p>
        </w:tc>
        <w:tc>
          <w:tcPr>
            <w:tcW w:w="2655" w:type="dxa"/>
            <w:vAlign w:val="center"/>
          </w:tcPr>
          <w:p w14:paraId="73604817" w14:textId="77777777" w:rsidR="006D15F7" w:rsidRPr="007C6A51" w:rsidRDefault="006D15F7" w:rsidP="003B5DE7">
            <w:pPr>
              <w:snapToGrid w:val="0"/>
              <w:jc w:val="center"/>
              <w:rPr>
                <w:rFonts w:ascii="宋体" w:eastAsia="宋体" w:hAnsi="宋体" w:cs="宋体" w:hint="eastAsia"/>
                <w:bCs/>
                <w:sz w:val="18"/>
                <w:szCs w:val="18"/>
              </w:rPr>
            </w:pPr>
            <w:r w:rsidRPr="007C6A51">
              <w:rPr>
                <w:rFonts w:hint="eastAsia"/>
                <w:sz w:val="18"/>
                <w:szCs w:val="18"/>
              </w:rPr>
              <w:t>引用的</w:t>
            </w:r>
            <w:r w:rsidRPr="007C6A51">
              <w:rPr>
                <w:rFonts w:ascii="宋体" w:eastAsia="宋体" w:hAnsi="宋体" w:cs="宋体" w:hint="eastAsia"/>
                <w:bCs/>
                <w:sz w:val="18"/>
                <w:szCs w:val="18"/>
              </w:rPr>
              <w:t>QB/T 2454-2013</w:t>
            </w:r>
          </w:p>
          <w:p w14:paraId="4FBA7EAF" w14:textId="77777777" w:rsidR="006D15F7" w:rsidRPr="007C6A51" w:rsidRDefault="006D15F7" w:rsidP="003B5DE7">
            <w:pPr>
              <w:jc w:val="center"/>
              <w:rPr>
                <w:rFonts w:ascii="宋体" w:eastAsia="宋体" w:hAnsi="宋体" w:cs="宋体" w:hint="eastAsia"/>
                <w:bCs/>
                <w:sz w:val="18"/>
                <w:szCs w:val="18"/>
              </w:rPr>
            </w:pPr>
            <w:r w:rsidRPr="007C6A51">
              <w:rPr>
                <w:rFonts w:ascii="宋体" w:eastAsia="宋体" w:hAnsi="宋体" w:cs="宋体" w:hint="eastAsia"/>
                <w:bCs/>
                <w:sz w:val="18"/>
                <w:szCs w:val="18"/>
              </w:rPr>
              <w:t>B.2</w:t>
            </w:r>
            <w:r w:rsidRPr="007C6A51">
              <w:rPr>
                <w:rFonts w:hint="eastAsia"/>
                <w:sz w:val="18"/>
                <w:szCs w:val="18"/>
              </w:rPr>
              <w:t>实验方法</w:t>
            </w:r>
          </w:p>
        </w:tc>
      </w:tr>
      <w:tr w:rsidR="007C6A51" w:rsidRPr="007C6A51" w14:paraId="7597607C" w14:textId="77777777" w:rsidTr="003B5DE7">
        <w:trPr>
          <w:trHeight w:val="504"/>
        </w:trPr>
        <w:tc>
          <w:tcPr>
            <w:tcW w:w="385" w:type="dxa"/>
            <w:vAlign w:val="center"/>
          </w:tcPr>
          <w:p w14:paraId="10D57AB3" w14:textId="77777777" w:rsidR="006D15F7" w:rsidRPr="007C6A51" w:rsidRDefault="006D15F7" w:rsidP="003B5DE7">
            <w:pPr>
              <w:jc w:val="center"/>
              <w:rPr>
                <w:sz w:val="21"/>
                <w:szCs w:val="21"/>
              </w:rPr>
            </w:pPr>
            <w:r w:rsidRPr="007C6A51">
              <w:rPr>
                <w:rFonts w:hint="eastAsia"/>
                <w:sz w:val="21"/>
                <w:szCs w:val="21"/>
              </w:rPr>
              <w:t>8</w:t>
            </w:r>
          </w:p>
        </w:tc>
        <w:tc>
          <w:tcPr>
            <w:tcW w:w="1380" w:type="dxa"/>
            <w:vAlign w:val="center"/>
          </w:tcPr>
          <w:p w14:paraId="68D0D6DA" w14:textId="77777777" w:rsidR="006D15F7" w:rsidRPr="007C6A51" w:rsidRDefault="006D15F7" w:rsidP="003B5DE7">
            <w:pPr>
              <w:jc w:val="center"/>
              <w:rPr>
                <w:rFonts w:ascii="宋体" w:eastAsia="宋体" w:hAnsi="宋体" w:cs="宋体" w:hint="eastAsia"/>
                <w:kern w:val="0"/>
                <w:sz w:val="18"/>
                <w:szCs w:val="18"/>
              </w:rPr>
            </w:pPr>
            <w:r w:rsidRPr="007C6A51">
              <w:rPr>
                <w:rFonts w:ascii="宋体" w:eastAsia="宋体" w:hAnsi="宋体" w:cs="宋体" w:hint="eastAsia"/>
                <w:kern w:val="0"/>
                <w:sz w:val="18"/>
                <w:szCs w:val="18"/>
              </w:rPr>
              <w:t>耐腐蚀</w:t>
            </w:r>
          </w:p>
        </w:tc>
        <w:tc>
          <w:tcPr>
            <w:tcW w:w="1320" w:type="dxa"/>
            <w:vAlign w:val="center"/>
          </w:tcPr>
          <w:p w14:paraId="2ECF6162" w14:textId="77777777" w:rsidR="006D15F7" w:rsidRPr="007C6A51" w:rsidRDefault="006D15F7" w:rsidP="003B5DE7">
            <w:pPr>
              <w:jc w:val="center"/>
              <w:rPr>
                <w:rFonts w:ascii="宋体" w:eastAsia="宋体" w:hAnsi="宋体" w:cs="宋体" w:hint="eastAsia"/>
                <w:bCs/>
                <w:sz w:val="18"/>
                <w:szCs w:val="18"/>
              </w:rPr>
            </w:pPr>
            <w:r w:rsidRPr="007C6A51">
              <w:rPr>
                <w:rFonts w:ascii="宋体" w:eastAsia="宋体" w:hAnsi="宋体" w:cs="宋体" w:hint="eastAsia"/>
                <w:bCs/>
                <w:sz w:val="18"/>
                <w:szCs w:val="18"/>
              </w:rPr>
              <w:t>QB/T 2454-2013</w:t>
            </w:r>
          </w:p>
        </w:tc>
        <w:tc>
          <w:tcPr>
            <w:tcW w:w="3570" w:type="dxa"/>
            <w:vAlign w:val="center"/>
          </w:tcPr>
          <w:p w14:paraId="64D7AD90" w14:textId="77777777" w:rsidR="006D15F7" w:rsidRPr="007C6A51" w:rsidRDefault="006D15F7" w:rsidP="003B5DE7">
            <w:pPr>
              <w:jc w:val="center"/>
              <w:rPr>
                <w:rFonts w:ascii="宋体" w:eastAsia="宋体" w:hAnsi="宋体" w:cs="宋体" w:hint="eastAsia"/>
                <w:bCs/>
                <w:kern w:val="0"/>
                <w:sz w:val="18"/>
                <w:szCs w:val="18"/>
              </w:rPr>
            </w:pPr>
            <w:r w:rsidRPr="007C6A51">
              <w:rPr>
                <w:rFonts w:ascii="宋体" w:eastAsia="宋体" w:hAnsi="宋体" w:cs="宋体" w:hint="eastAsia"/>
                <w:sz w:val="18"/>
                <w:szCs w:val="18"/>
              </w:rPr>
              <w:t>18h，1.5mm以下锈点不应超过20点/dm</w:t>
            </w:r>
            <w:r w:rsidRPr="007C6A51">
              <w:rPr>
                <w:rFonts w:ascii="宋体" w:eastAsia="宋体" w:hAnsi="宋体" w:cs="宋体" w:hint="eastAsia"/>
                <w:sz w:val="18"/>
                <w:szCs w:val="18"/>
                <w:vertAlign w:val="superscript"/>
              </w:rPr>
              <w:t>2</w:t>
            </w:r>
            <w:r w:rsidRPr="007C6A51">
              <w:rPr>
                <w:rFonts w:ascii="宋体" w:eastAsia="宋体" w:hAnsi="宋体" w:cs="宋体" w:hint="eastAsia"/>
                <w:sz w:val="18"/>
                <w:szCs w:val="18"/>
              </w:rPr>
              <w:t>,其中直径1.0mm以上的锈点不应超过5点/dm</w:t>
            </w:r>
            <w:r w:rsidRPr="007C6A51">
              <w:rPr>
                <w:rFonts w:ascii="宋体" w:eastAsia="宋体" w:hAnsi="宋体" w:cs="宋体" w:hint="eastAsia"/>
                <w:sz w:val="18"/>
                <w:szCs w:val="18"/>
                <w:vertAlign w:val="superscript"/>
              </w:rPr>
              <w:t>2</w:t>
            </w:r>
            <w:r w:rsidRPr="007C6A51">
              <w:rPr>
                <w:rFonts w:ascii="宋体" w:eastAsia="宋体" w:hAnsi="宋体" w:cs="宋体" w:hint="eastAsia"/>
                <w:sz w:val="18"/>
                <w:szCs w:val="18"/>
              </w:rPr>
              <w:t>（距离边缘棱角2mm以内的不计）</w:t>
            </w:r>
          </w:p>
        </w:tc>
        <w:tc>
          <w:tcPr>
            <w:tcW w:w="2655" w:type="dxa"/>
            <w:vAlign w:val="center"/>
          </w:tcPr>
          <w:p w14:paraId="412A59A9" w14:textId="77777777" w:rsidR="006D15F7" w:rsidRPr="007C6A51" w:rsidRDefault="006D15F7" w:rsidP="003B5DE7">
            <w:pPr>
              <w:snapToGrid w:val="0"/>
              <w:jc w:val="center"/>
              <w:rPr>
                <w:rFonts w:ascii="宋体" w:eastAsia="宋体" w:hAnsi="宋体" w:cs="宋体" w:hint="eastAsia"/>
                <w:bCs/>
                <w:sz w:val="18"/>
                <w:szCs w:val="18"/>
              </w:rPr>
            </w:pPr>
            <w:r w:rsidRPr="007C6A51">
              <w:rPr>
                <w:rFonts w:hint="eastAsia"/>
                <w:sz w:val="18"/>
                <w:szCs w:val="18"/>
              </w:rPr>
              <w:t>引用的</w:t>
            </w:r>
            <w:r w:rsidRPr="007C6A51">
              <w:rPr>
                <w:rFonts w:ascii="宋体" w:eastAsia="宋体" w:hAnsi="宋体" w:cs="宋体" w:hint="eastAsia"/>
                <w:bCs/>
                <w:sz w:val="18"/>
                <w:szCs w:val="18"/>
              </w:rPr>
              <w:t>QB/T 2454-2013</w:t>
            </w:r>
          </w:p>
          <w:p w14:paraId="10BE74E6" w14:textId="77777777" w:rsidR="006D15F7" w:rsidRPr="007C6A51" w:rsidRDefault="006D15F7" w:rsidP="003B5DE7">
            <w:pPr>
              <w:jc w:val="center"/>
              <w:rPr>
                <w:rFonts w:ascii="宋体" w:eastAsia="宋体" w:hAnsi="宋体" w:cs="宋体" w:hint="eastAsia"/>
                <w:bCs/>
                <w:sz w:val="18"/>
                <w:szCs w:val="18"/>
              </w:rPr>
            </w:pPr>
            <w:r w:rsidRPr="007C6A51">
              <w:rPr>
                <w:rFonts w:ascii="宋体" w:eastAsia="宋体" w:hAnsi="宋体" w:cs="宋体" w:hint="eastAsia"/>
                <w:bCs/>
                <w:sz w:val="18"/>
                <w:szCs w:val="18"/>
              </w:rPr>
              <w:t>5.6</w:t>
            </w:r>
            <w:r w:rsidRPr="007C6A51">
              <w:rPr>
                <w:rFonts w:hint="eastAsia"/>
                <w:sz w:val="18"/>
                <w:szCs w:val="18"/>
              </w:rPr>
              <w:t>实验方法</w:t>
            </w:r>
          </w:p>
        </w:tc>
      </w:tr>
    </w:tbl>
    <w:p w14:paraId="20905552" w14:textId="77777777" w:rsidR="00630DB7" w:rsidRPr="007C6A51" w:rsidRDefault="00630DB7" w:rsidP="00630DB7"/>
    <w:p w14:paraId="7F0ED0AB" w14:textId="77777777" w:rsidR="00FD015A" w:rsidRPr="007C6A51" w:rsidRDefault="00FD015A" w:rsidP="00287D48">
      <w:pPr>
        <w:ind w:firstLineChars="200" w:firstLine="560"/>
      </w:pPr>
    </w:p>
    <w:sectPr w:rsidR="00FD015A" w:rsidRPr="007C6A51"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8CE31" w14:textId="77777777" w:rsidR="006602D2" w:rsidRDefault="006602D2" w:rsidP="00BB483B">
      <w:r>
        <w:separator/>
      </w:r>
    </w:p>
  </w:endnote>
  <w:endnote w:type="continuationSeparator" w:id="0">
    <w:p w14:paraId="0AF1EF2A" w14:textId="77777777" w:rsidR="006602D2" w:rsidRDefault="006602D2"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943744"/>
    </w:sdtPr>
    <w:sdtEndPr>
      <w:rPr>
        <w:sz w:val="21"/>
        <w:szCs w:val="21"/>
      </w:rPr>
    </w:sdtEndPr>
    <w:sdtContent>
      <w:p w14:paraId="6963158F" w14:textId="3B8B5667" w:rsidR="00BB483B" w:rsidRDefault="00DF48A3">
        <w:pPr>
          <w:pStyle w:val="a8"/>
          <w:jc w:val="center"/>
          <w:rPr>
            <w:sz w:val="21"/>
            <w:szCs w:val="21"/>
          </w:rPr>
        </w:pPr>
        <w:r>
          <w:rPr>
            <w:sz w:val="21"/>
            <w:szCs w:val="21"/>
          </w:rPr>
          <w:fldChar w:fldCharType="begin"/>
        </w:r>
        <w:r w:rsidR="009211A1">
          <w:rPr>
            <w:sz w:val="21"/>
            <w:szCs w:val="21"/>
          </w:rPr>
          <w:instrText xml:space="preserve"> PAGE   \* MERGEFORMAT </w:instrText>
        </w:r>
        <w:r>
          <w:rPr>
            <w:sz w:val="21"/>
            <w:szCs w:val="21"/>
          </w:rPr>
          <w:fldChar w:fldCharType="separate"/>
        </w:r>
        <w:r w:rsidR="00BE35BF" w:rsidRPr="00BE35BF">
          <w:rPr>
            <w:noProof/>
            <w:sz w:val="21"/>
            <w:szCs w:val="21"/>
            <w:lang w:val="zh-CN"/>
          </w:rPr>
          <w:t>5</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5FCF7" w14:textId="77777777" w:rsidR="006602D2" w:rsidRDefault="006602D2" w:rsidP="00BB483B">
      <w:r>
        <w:separator/>
      </w:r>
    </w:p>
  </w:footnote>
  <w:footnote w:type="continuationSeparator" w:id="0">
    <w:p w14:paraId="3559207D" w14:textId="77777777" w:rsidR="006602D2" w:rsidRDefault="006602D2"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5"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CA851C1"/>
    <w:multiLevelType w:val="multilevel"/>
    <w:tmpl w:val="0000000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1"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456487328">
    <w:abstractNumId w:val="8"/>
  </w:num>
  <w:num w:numId="2" w16cid:durableId="1892956591">
    <w:abstractNumId w:val="0"/>
  </w:num>
  <w:num w:numId="3" w16cid:durableId="2083720930">
    <w:abstractNumId w:val="10"/>
  </w:num>
  <w:num w:numId="4" w16cid:durableId="2053114629">
    <w:abstractNumId w:val="7"/>
  </w:num>
  <w:num w:numId="5" w16cid:durableId="1506095416">
    <w:abstractNumId w:val="4"/>
  </w:num>
  <w:num w:numId="6" w16cid:durableId="773481423">
    <w:abstractNumId w:val="1"/>
  </w:num>
  <w:num w:numId="7" w16cid:durableId="1142115932">
    <w:abstractNumId w:val="3"/>
  </w:num>
  <w:num w:numId="8" w16cid:durableId="1872373764">
    <w:abstractNumId w:val="5"/>
  </w:num>
  <w:num w:numId="9" w16cid:durableId="288711446">
    <w:abstractNumId w:val="2"/>
  </w:num>
  <w:num w:numId="10" w16cid:durableId="880171634">
    <w:abstractNumId w:val="11"/>
  </w:num>
  <w:num w:numId="11" w16cid:durableId="1097602255">
    <w:abstractNumId w:val="9"/>
  </w:num>
  <w:num w:numId="12" w16cid:durableId="10274125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DAA"/>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6E"/>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5D"/>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6ED"/>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0E8"/>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2E0"/>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1D6"/>
    <w:rsid w:val="000D44CB"/>
    <w:rsid w:val="000D4561"/>
    <w:rsid w:val="000D456D"/>
    <w:rsid w:val="000D46BB"/>
    <w:rsid w:val="000D46E3"/>
    <w:rsid w:val="000D4835"/>
    <w:rsid w:val="000D49C6"/>
    <w:rsid w:val="000D4A95"/>
    <w:rsid w:val="000D4BC1"/>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3FA"/>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0CC"/>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E2"/>
    <w:rsid w:val="001A02F4"/>
    <w:rsid w:val="001A0687"/>
    <w:rsid w:val="001A068E"/>
    <w:rsid w:val="001A07F9"/>
    <w:rsid w:val="001A0824"/>
    <w:rsid w:val="001A0F88"/>
    <w:rsid w:val="001A142F"/>
    <w:rsid w:val="001A15F3"/>
    <w:rsid w:val="001A1764"/>
    <w:rsid w:val="001A1FDA"/>
    <w:rsid w:val="001A27E9"/>
    <w:rsid w:val="001A3182"/>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97A"/>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5D6"/>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321"/>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49E"/>
    <w:rsid w:val="0020757F"/>
    <w:rsid w:val="002077DD"/>
    <w:rsid w:val="00207C67"/>
    <w:rsid w:val="00207C89"/>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0DE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34E"/>
    <w:rsid w:val="002437F0"/>
    <w:rsid w:val="002439AB"/>
    <w:rsid w:val="00243B70"/>
    <w:rsid w:val="00243C30"/>
    <w:rsid w:val="00243E7C"/>
    <w:rsid w:val="00243E82"/>
    <w:rsid w:val="00243FE2"/>
    <w:rsid w:val="00244226"/>
    <w:rsid w:val="00244706"/>
    <w:rsid w:val="00244943"/>
    <w:rsid w:val="002449FD"/>
    <w:rsid w:val="00244B21"/>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D3D"/>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D48"/>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0A7"/>
    <w:rsid w:val="002955A7"/>
    <w:rsid w:val="0029597E"/>
    <w:rsid w:val="00295A0F"/>
    <w:rsid w:val="0029607A"/>
    <w:rsid w:val="002960E6"/>
    <w:rsid w:val="00296203"/>
    <w:rsid w:val="002962A5"/>
    <w:rsid w:val="00296333"/>
    <w:rsid w:val="00296524"/>
    <w:rsid w:val="00296AEC"/>
    <w:rsid w:val="00296B88"/>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22E"/>
    <w:rsid w:val="002D4504"/>
    <w:rsid w:val="002D45CF"/>
    <w:rsid w:val="002D46BA"/>
    <w:rsid w:val="002D4AF9"/>
    <w:rsid w:val="002D5098"/>
    <w:rsid w:val="002D519C"/>
    <w:rsid w:val="002D5570"/>
    <w:rsid w:val="002D55AD"/>
    <w:rsid w:val="002D5786"/>
    <w:rsid w:val="002D5880"/>
    <w:rsid w:val="002D5A15"/>
    <w:rsid w:val="002D5B3F"/>
    <w:rsid w:val="002D5D5E"/>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C1"/>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B91"/>
    <w:rsid w:val="002F3D8E"/>
    <w:rsid w:val="002F3DE2"/>
    <w:rsid w:val="002F3FC2"/>
    <w:rsid w:val="002F401D"/>
    <w:rsid w:val="002F452A"/>
    <w:rsid w:val="002F45F6"/>
    <w:rsid w:val="002F49E3"/>
    <w:rsid w:val="002F4BB0"/>
    <w:rsid w:val="002F4BBB"/>
    <w:rsid w:val="002F4C9D"/>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48"/>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4D8"/>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0E"/>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6EF"/>
    <w:rsid w:val="00355AF6"/>
    <w:rsid w:val="00355D92"/>
    <w:rsid w:val="00355E18"/>
    <w:rsid w:val="00355F14"/>
    <w:rsid w:val="00356075"/>
    <w:rsid w:val="003560D3"/>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E7B"/>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BD"/>
    <w:rsid w:val="003800F8"/>
    <w:rsid w:val="003803FF"/>
    <w:rsid w:val="00380453"/>
    <w:rsid w:val="0038050C"/>
    <w:rsid w:val="00380962"/>
    <w:rsid w:val="00380986"/>
    <w:rsid w:val="00380D88"/>
    <w:rsid w:val="003810A0"/>
    <w:rsid w:val="00381688"/>
    <w:rsid w:val="003817B7"/>
    <w:rsid w:val="00381D6A"/>
    <w:rsid w:val="0038205C"/>
    <w:rsid w:val="0038231E"/>
    <w:rsid w:val="00382424"/>
    <w:rsid w:val="00382525"/>
    <w:rsid w:val="0038258A"/>
    <w:rsid w:val="00382638"/>
    <w:rsid w:val="00382794"/>
    <w:rsid w:val="003827AD"/>
    <w:rsid w:val="0038285E"/>
    <w:rsid w:val="00382E89"/>
    <w:rsid w:val="00383248"/>
    <w:rsid w:val="003839E1"/>
    <w:rsid w:val="00383D92"/>
    <w:rsid w:val="00383EB9"/>
    <w:rsid w:val="00384029"/>
    <w:rsid w:val="00384199"/>
    <w:rsid w:val="003848A5"/>
    <w:rsid w:val="00384AB5"/>
    <w:rsid w:val="00384B04"/>
    <w:rsid w:val="00384D2A"/>
    <w:rsid w:val="003850E2"/>
    <w:rsid w:val="00385194"/>
    <w:rsid w:val="00385412"/>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1A6"/>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16E"/>
    <w:rsid w:val="003D5326"/>
    <w:rsid w:val="003D53C7"/>
    <w:rsid w:val="003D5605"/>
    <w:rsid w:val="003D5658"/>
    <w:rsid w:val="003D56DF"/>
    <w:rsid w:val="003D5921"/>
    <w:rsid w:val="003D5A0B"/>
    <w:rsid w:val="003D602C"/>
    <w:rsid w:val="003D62D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634"/>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B9E"/>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93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DF"/>
    <w:rsid w:val="004478E3"/>
    <w:rsid w:val="00447D71"/>
    <w:rsid w:val="00447DB3"/>
    <w:rsid w:val="004503A6"/>
    <w:rsid w:val="004504A1"/>
    <w:rsid w:val="0045064B"/>
    <w:rsid w:val="004506A1"/>
    <w:rsid w:val="00450AE8"/>
    <w:rsid w:val="00451160"/>
    <w:rsid w:val="004515AA"/>
    <w:rsid w:val="00451729"/>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C1E"/>
    <w:rsid w:val="00484F40"/>
    <w:rsid w:val="0048508B"/>
    <w:rsid w:val="00485213"/>
    <w:rsid w:val="0048535C"/>
    <w:rsid w:val="0048569A"/>
    <w:rsid w:val="0048597A"/>
    <w:rsid w:val="00486209"/>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689"/>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8A3"/>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70D"/>
    <w:rsid w:val="004E3809"/>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BE9"/>
    <w:rsid w:val="00505C95"/>
    <w:rsid w:val="005062A9"/>
    <w:rsid w:val="00506358"/>
    <w:rsid w:val="005068E5"/>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AA8"/>
    <w:rsid w:val="00567B4B"/>
    <w:rsid w:val="00567C5C"/>
    <w:rsid w:val="00567C82"/>
    <w:rsid w:val="00567F1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B31"/>
    <w:rsid w:val="005D6DB3"/>
    <w:rsid w:val="005D7005"/>
    <w:rsid w:val="005D76DE"/>
    <w:rsid w:val="005D77AD"/>
    <w:rsid w:val="005D77B4"/>
    <w:rsid w:val="005D7906"/>
    <w:rsid w:val="005D79E4"/>
    <w:rsid w:val="005D7A98"/>
    <w:rsid w:val="005D7B73"/>
    <w:rsid w:val="005D7BCD"/>
    <w:rsid w:val="005D7DBB"/>
    <w:rsid w:val="005E02AF"/>
    <w:rsid w:val="005E02DE"/>
    <w:rsid w:val="005E03FA"/>
    <w:rsid w:val="005E0C27"/>
    <w:rsid w:val="005E0C5A"/>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560"/>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499C"/>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DB7"/>
    <w:rsid w:val="00630F4E"/>
    <w:rsid w:val="0063103F"/>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2D2"/>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21"/>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C4A"/>
    <w:rsid w:val="00686FB4"/>
    <w:rsid w:val="00686FE3"/>
    <w:rsid w:val="00687385"/>
    <w:rsid w:val="006874EC"/>
    <w:rsid w:val="0068760C"/>
    <w:rsid w:val="00687721"/>
    <w:rsid w:val="00687730"/>
    <w:rsid w:val="00687A02"/>
    <w:rsid w:val="006900FB"/>
    <w:rsid w:val="006907FF"/>
    <w:rsid w:val="0069090F"/>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67E"/>
    <w:rsid w:val="006967DE"/>
    <w:rsid w:val="006969F5"/>
    <w:rsid w:val="00696ACE"/>
    <w:rsid w:val="006970FD"/>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5F7"/>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29F"/>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4E9C"/>
    <w:rsid w:val="006F52FF"/>
    <w:rsid w:val="006F56BB"/>
    <w:rsid w:val="006F58A0"/>
    <w:rsid w:val="006F58B6"/>
    <w:rsid w:val="006F5D42"/>
    <w:rsid w:val="006F5F61"/>
    <w:rsid w:val="006F6053"/>
    <w:rsid w:val="006F63CC"/>
    <w:rsid w:val="006F6A98"/>
    <w:rsid w:val="006F6AD1"/>
    <w:rsid w:val="006F6F04"/>
    <w:rsid w:val="006F6F19"/>
    <w:rsid w:val="006F6FBF"/>
    <w:rsid w:val="006F7175"/>
    <w:rsid w:val="006F72BD"/>
    <w:rsid w:val="006F7312"/>
    <w:rsid w:val="006F78F0"/>
    <w:rsid w:val="006F79DB"/>
    <w:rsid w:val="007000AA"/>
    <w:rsid w:val="007006D6"/>
    <w:rsid w:val="00700809"/>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20"/>
    <w:rsid w:val="00706899"/>
    <w:rsid w:val="00706B3C"/>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66B"/>
    <w:rsid w:val="007977E3"/>
    <w:rsid w:val="00797A76"/>
    <w:rsid w:val="00797C43"/>
    <w:rsid w:val="007A0583"/>
    <w:rsid w:val="007A07CB"/>
    <w:rsid w:val="007A0D30"/>
    <w:rsid w:val="007A0ED9"/>
    <w:rsid w:val="007A0F4A"/>
    <w:rsid w:val="007A1056"/>
    <w:rsid w:val="007A11F7"/>
    <w:rsid w:val="007A129D"/>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6AC"/>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03"/>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A51"/>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3DDF"/>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BA2"/>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21D"/>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2B1"/>
    <w:rsid w:val="008314CE"/>
    <w:rsid w:val="00831900"/>
    <w:rsid w:val="00831B1C"/>
    <w:rsid w:val="00831BF0"/>
    <w:rsid w:val="00831CD4"/>
    <w:rsid w:val="00831F41"/>
    <w:rsid w:val="00832342"/>
    <w:rsid w:val="008325BB"/>
    <w:rsid w:val="00832D1B"/>
    <w:rsid w:val="00832D21"/>
    <w:rsid w:val="00832DDF"/>
    <w:rsid w:val="00832DFA"/>
    <w:rsid w:val="00833664"/>
    <w:rsid w:val="0083378B"/>
    <w:rsid w:val="008338A1"/>
    <w:rsid w:val="00833C44"/>
    <w:rsid w:val="008340CF"/>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492"/>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2D7"/>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EBB"/>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40D"/>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C1C"/>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1BB"/>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034"/>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0F73"/>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D64"/>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A92"/>
    <w:rsid w:val="00934A98"/>
    <w:rsid w:val="00934A9A"/>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C1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11F"/>
    <w:rsid w:val="00964307"/>
    <w:rsid w:val="00964428"/>
    <w:rsid w:val="00964598"/>
    <w:rsid w:val="00964BA7"/>
    <w:rsid w:val="00964D13"/>
    <w:rsid w:val="00964E19"/>
    <w:rsid w:val="009652DD"/>
    <w:rsid w:val="00965455"/>
    <w:rsid w:val="00965D6A"/>
    <w:rsid w:val="0096603D"/>
    <w:rsid w:val="00966609"/>
    <w:rsid w:val="0096664D"/>
    <w:rsid w:val="009666D8"/>
    <w:rsid w:val="00966770"/>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4FA"/>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333"/>
    <w:rsid w:val="009C14AD"/>
    <w:rsid w:val="009C165D"/>
    <w:rsid w:val="009C1F1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3B62"/>
    <w:rsid w:val="009E4265"/>
    <w:rsid w:val="009E432B"/>
    <w:rsid w:val="009E43B3"/>
    <w:rsid w:val="009E44B7"/>
    <w:rsid w:val="009E4DF1"/>
    <w:rsid w:val="009E4F1A"/>
    <w:rsid w:val="009E5058"/>
    <w:rsid w:val="009E5418"/>
    <w:rsid w:val="009E5475"/>
    <w:rsid w:val="009E553E"/>
    <w:rsid w:val="009E55D1"/>
    <w:rsid w:val="009E5C5F"/>
    <w:rsid w:val="009E5EF8"/>
    <w:rsid w:val="009E6196"/>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2E8"/>
    <w:rsid w:val="009F7396"/>
    <w:rsid w:val="009F73E2"/>
    <w:rsid w:val="009F7921"/>
    <w:rsid w:val="009F7A08"/>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6E6"/>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0E7B"/>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042"/>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6F8"/>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2206"/>
    <w:rsid w:val="00A42256"/>
    <w:rsid w:val="00A42525"/>
    <w:rsid w:val="00A42904"/>
    <w:rsid w:val="00A42AD4"/>
    <w:rsid w:val="00A42BAC"/>
    <w:rsid w:val="00A42E5C"/>
    <w:rsid w:val="00A433CC"/>
    <w:rsid w:val="00A43415"/>
    <w:rsid w:val="00A43555"/>
    <w:rsid w:val="00A4355A"/>
    <w:rsid w:val="00A435C9"/>
    <w:rsid w:val="00A437D1"/>
    <w:rsid w:val="00A43B63"/>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6A"/>
    <w:rsid w:val="00A45EAE"/>
    <w:rsid w:val="00A46154"/>
    <w:rsid w:val="00A468F9"/>
    <w:rsid w:val="00A46B10"/>
    <w:rsid w:val="00A46ECC"/>
    <w:rsid w:val="00A47042"/>
    <w:rsid w:val="00A47234"/>
    <w:rsid w:val="00A47971"/>
    <w:rsid w:val="00A47DBC"/>
    <w:rsid w:val="00A50413"/>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BB5"/>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77EDF"/>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F06"/>
    <w:rsid w:val="00AA6FF9"/>
    <w:rsid w:val="00AA7003"/>
    <w:rsid w:val="00AA70C2"/>
    <w:rsid w:val="00AA73AF"/>
    <w:rsid w:val="00AA769C"/>
    <w:rsid w:val="00AA76AE"/>
    <w:rsid w:val="00AA7846"/>
    <w:rsid w:val="00AA7C8A"/>
    <w:rsid w:val="00AB0423"/>
    <w:rsid w:val="00AB07AA"/>
    <w:rsid w:val="00AB07CE"/>
    <w:rsid w:val="00AB0A46"/>
    <w:rsid w:val="00AB0C26"/>
    <w:rsid w:val="00AB0F06"/>
    <w:rsid w:val="00AB1C2E"/>
    <w:rsid w:val="00AB228A"/>
    <w:rsid w:val="00AB2487"/>
    <w:rsid w:val="00AB272F"/>
    <w:rsid w:val="00AB27A2"/>
    <w:rsid w:val="00AB27B1"/>
    <w:rsid w:val="00AB28F2"/>
    <w:rsid w:val="00AB292A"/>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C44"/>
    <w:rsid w:val="00AC6EC8"/>
    <w:rsid w:val="00AC70EC"/>
    <w:rsid w:val="00AC750F"/>
    <w:rsid w:val="00AC756A"/>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2D20"/>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1F4C"/>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5BF"/>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A2C"/>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801"/>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8EC"/>
    <w:rsid w:val="00C47950"/>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44D3"/>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5C1"/>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A7FF5"/>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66F"/>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913"/>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3BD"/>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8D"/>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6D4"/>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5CC"/>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6A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8B0"/>
    <w:rsid w:val="00DE4F8D"/>
    <w:rsid w:val="00DE5568"/>
    <w:rsid w:val="00DE5759"/>
    <w:rsid w:val="00DE5BE7"/>
    <w:rsid w:val="00DE5C49"/>
    <w:rsid w:val="00DE65E1"/>
    <w:rsid w:val="00DE66B1"/>
    <w:rsid w:val="00DE6815"/>
    <w:rsid w:val="00DE6D50"/>
    <w:rsid w:val="00DE6EBC"/>
    <w:rsid w:val="00DE7041"/>
    <w:rsid w:val="00DE7139"/>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8A3"/>
    <w:rsid w:val="00DF4A12"/>
    <w:rsid w:val="00DF4D04"/>
    <w:rsid w:val="00DF4DD7"/>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BC8"/>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9C1"/>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20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5E1"/>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A5"/>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840"/>
    <w:rsid w:val="00E97A95"/>
    <w:rsid w:val="00E97B3F"/>
    <w:rsid w:val="00E97CEB"/>
    <w:rsid w:val="00EA0196"/>
    <w:rsid w:val="00EA01A0"/>
    <w:rsid w:val="00EA07DD"/>
    <w:rsid w:val="00EA0CF1"/>
    <w:rsid w:val="00EA0FA7"/>
    <w:rsid w:val="00EA1067"/>
    <w:rsid w:val="00EA10F6"/>
    <w:rsid w:val="00EA12DF"/>
    <w:rsid w:val="00EA1D09"/>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6EE"/>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5F12"/>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3D"/>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61E"/>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07F"/>
    <w:rsid w:val="00F543A9"/>
    <w:rsid w:val="00F54899"/>
    <w:rsid w:val="00F5492A"/>
    <w:rsid w:val="00F549A8"/>
    <w:rsid w:val="00F54B2A"/>
    <w:rsid w:val="00F54D66"/>
    <w:rsid w:val="00F55694"/>
    <w:rsid w:val="00F560F6"/>
    <w:rsid w:val="00F56308"/>
    <w:rsid w:val="00F563CD"/>
    <w:rsid w:val="00F5647A"/>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0D3"/>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0B"/>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3BF"/>
    <w:rsid w:val="00FA74D5"/>
    <w:rsid w:val="00FA782A"/>
    <w:rsid w:val="00FA7C9A"/>
    <w:rsid w:val="00FA7CD2"/>
    <w:rsid w:val="00FA7F2A"/>
    <w:rsid w:val="00FB0151"/>
    <w:rsid w:val="00FB0661"/>
    <w:rsid w:val="00FB0E37"/>
    <w:rsid w:val="00FB13E6"/>
    <w:rsid w:val="00FB16BA"/>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E5F"/>
    <w:rsid w:val="00FC5F47"/>
    <w:rsid w:val="00FC6102"/>
    <w:rsid w:val="00FC63B2"/>
    <w:rsid w:val="00FC658A"/>
    <w:rsid w:val="00FC6963"/>
    <w:rsid w:val="00FC69DB"/>
    <w:rsid w:val="00FC70E0"/>
    <w:rsid w:val="00FC71AB"/>
    <w:rsid w:val="00FC755B"/>
    <w:rsid w:val="00FC767E"/>
    <w:rsid w:val="00FD015A"/>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BF8"/>
    <w:rsid w:val="00FE3DB9"/>
    <w:rsid w:val="00FE3E84"/>
    <w:rsid w:val="00FE3FC8"/>
    <w:rsid w:val="00FE40F5"/>
    <w:rsid w:val="00FE4290"/>
    <w:rsid w:val="00FE47F4"/>
    <w:rsid w:val="00FE4AFA"/>
    <w:rsid w:val="00FE5090"/>
    <w:rsid w:val="00FE513B"/>
    <w:rsid w:val="00FE51CA"/>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641"/>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4608A"/>
  <w15:docId w15:val="{770E5D52-1665-4E44-A0B3-D28F6858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iPriority w:val="99"/>
    <w:semiHidden/>
    <w:unhideWhenUsed/>
    <w:rsid w:val="00BB483B"/>
    <w:pPr>
      <w:ind w:leftChars="2500" w:left="100"/>
    </w:pPr>
  </w:style>
  <w:style w:type="paragraph" w:styleId="a6">
    <w:name w:val="Balloon Text"/>
    <w:basedOn w:val="a0"/>
    <w:link w:val="a7"/>
    <w:uiPriority w:val="99"/>
    <w:semiHidden/>
    <w:unhideWhenUsed/>
    <w:rsid w:val="00BB483B"/>
    <w:rPr>
      <w:sz w:val="18"/>
      <w:szCs w:val="18"/>
    </w:rPr>
  </w:style>
  <w:style w:type="paragraph" w:styleId="a8">
    <w:name w:val="footer"/>
    <w:basedOn w:val="a0"/>
    <w:link w:val="a9"/>
    <w:uiPriority w:val="99"/>
    <w:unhideWhenUsed/>
    <w:rsid w:val="00BB483B"/>
    <w:pPr>
      <w:tabs>
        <w:tab w:val="center" w:pos="4153"/>
        <w:tab w:val="right" w:pos="8306"/>
      </w:tabs>
      <w:snapToGrid w:val="0"/>
      <w:jc w:val="left"/>
    </w:pPr>
    <w:rPr>
      <w:sz w:val="18"/>
      <w:szCs w:val="18"/>
    </w:rPr>
  </w:style>
  <w:style w:type="paragraph" w:styleId="aa">
    <w:name w:val="header"/>
    <w:basedOn w:val="a0"/>
    <w:link w:val="ab"/>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c">
    <w:name w:val="Table Grid"/>
    <w:basedOn w:val="a2"/>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日期 字符"/>
    <w:basedOn w:val="a1"/>
    <w:link w:val="a4"/>
    <w:uiPriority w:val="99"/>
    <w:semiHidden/>
    <w:rsid w:val="00BB483B"/>
  </w:style>
  <w:style w:type="character" w:customStyle="1" w:styleId="a7">
    <w:name w:val="批注框文本 字符"/>
    <w:basedOn w:val="a1"/>
    <w:link w:val="a6"/>
    <w:uiPriority w:val="99"/>
    <w:semiHidden/>
    <w:rsid w:val="00BB483B"/>
    <w:rPr>
      <w:sz w:val="18"/>
      <w:szCs w:val="18"/>
    </w:rPr>
  </w:style>
  <w:style w:type="character" w:customStyle="1" w:styleId="ab">
    <w:name w:val="页眉 字符"/>
    <w:basedOn w:val="a1"/>
    <w:link w:val="aa"/>
    <w:uiPriority w:val="99"/>
    <w:rsid w:val="00BB483B"/>
    <w:rPr>
      <w:sz w:val="18"/>
      <w:szCs w:val="18"/>
    </w:rPr>
  </w:style>
  <w:style w:type="character" w:customStyle="1" w:styleId="a9">
    <w:name w:val="页脚 字符"/>
    <w:basedOn w:val="a1"/>
    <w:link w:val="a8"/>
    <w:uiPriority w:val="99"/>
    <w:rsid w:val="00BB483B"/>
    <w:rPr>
      <w:sz w:val="18"/>
      <w:szCs w:val="18"/>
    </w:rPr>
  </w:style>
  <w:style w:type="paragraph" w:customStyle="1" w:styleId="ad">
    <w:name w:val="字母编号列项（一级）"/>
    <w:qFormat/>
    <w:rsid w:val="00BB483B"/>
    <w:pPr>
      <w:jc w:val="both"/>
    </w:pPr>
    <w:rPr>
      <w:rFonts w:ascii="宋体"/>
      <w:sz w:val="21"/>
    </w:rPr>
  </w:style>
  <w:style w:type="paragraph" w:customStyle="1" w:styleId="ae">
    <w:name w:val="章标题"/>
    <w:next w:val="af"/>
    <w:qFormat/>
    <w:rsid w:val="0041409D"/>
    <w:pPr>
      <w:spacing w:beforeLines="100" w:afterLines="100"/>
      <w:jc w:val="both"/>
      <w:outlineLvl w:val="1"/>
    </w:pPr>
    <w:rPr>
      <w:rFonts w:ascii="黑体"/>
      <w:b/>
      <w:sz w:val="30"/>
    </w:rPr>
  </w:style>
  <w:style w:type="paragraph" w:customStyle="1" w:styleId="af">
    <w:name w:val="段"/>
    <w:link w:val="Char"/>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0"/>
    <w:uiPriority w:val="1"/>
    <w:qFormat/>
    <w:rsid w:val="00BB483B"/>
    <w:pPr>
      <w:jc w:val="left"/>
    </w:pPr>
    <w:rPr>
      <w:kern w:val="0"/>
      <w:sz w:val="22"/>
      <w:lang w:eastAsia="en-US"/>
    </w:rPr>
  </w:style>
  <w:style w:type="paragraph" w:customStyle="1" w:styleId="a">
    <w:name w:val="附录标识"/>
    <w:basedOn w:val="a0"/>
    <w:next w:val="af"/>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
    <w:qFormat/>
    <w:rsid w:val="00B5571F"/>
    <w:rPr>
      <w:rFonts w:ascii="宋体"/>
      <w:sz w:val="21"/>
    </w:rPr>
  </w:style>
  <w:style w:type="paragraph" w:styleId="af0">
    <w:name w:val="List Paragraph"/>
    <w:basedOn w:val="a0"/>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0"/>
    <w:uiPriority w:val="34"/>
    <w:qFormat/>
    <w:rsid w:val="009C4EE9"/>
    <w:pPr>
      <w:spacing w:line="300" w:lineRule="auto"/>
      <w:ind w:firstLineChars="200" w:firstLine="420"/>
    </w:pPr>
    <w:rPr>
      <w:rFonts w:ascii="Calibri" w:eastAsia="宋体" w:hAnsi="Calibri" w:cs="Times New Roman"/>
      <w:szCs w:val="21"/>
    </w:rPr>
  </w:style>
  <w:style w:type="paragraph" w:styleId="af1">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2">
    <w:name w:val="Title"/>
    <w:basedOn w:val="a0"/>
    <w:next w:val="a0"/>
    <w:link w:val="af3"/>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uiPriority w:val="10"/>
    <w:rsid w:val="0041409D"/>
    <w:rPr>
      <w:rFonts w:asciiTheme="majorHAnsi" w:eastAsiaTheme="majorEastAsia" w:hAnsiTheme="majorHAnsi" w:cstheme="majorBidi"/>
      <w:b/>
      <w:bCs/>
      <w:kern w:val="2"/>
      <w:sz w:val="32"/>
      <w:szCs w:val="32"/>
    </w:rPr>
  </w:style>
  <w:style w:type="character" w:styleId="af4">
    <w:name w:val="Hyperlink"/>
    <w:basedOn w:val="a1"/>
    <w:uiPriority w:val="99"/>
    <w:semiHidden/>
    <w:unhideWhenUsed/>
    <w:rsid w:val="001A3182"/>
    <w:rPr>
      <w:color w:val="0000FF"/>
      <w:u w:val="single"/>
    </w:rPr>
  </w:style>
  <w:style w:type="character" w:customStyle="1" w:styleId="apple-converted-space">
    <w:name w:val="apple-converted-space"/>
    <w:basedOn w:val="a1"/>
    <w:rsid w:val="00DF4DD7"/>
  </w:style>
  <w:style w:type="character" w:styleId="af5">
    <w:name w:val="annotation reference"/>
    <w:basedOn w:val="a1"/>
    <w:uiPriority w:val="99"/>
    <w:semiHidden/>
    <w:unhideWhenUsed/>
    <w:rsid w:val="00A66BB5"/>
    <w:rPr>
      <w:sz w:val="21"/>
      <w:szCs w:val="21"/>
    </w:rPr>
  </w:style>
  <w:style w:type="paragraph" w:styleId="af6">
    <w:name w:val="annotation text"/>
    <w:basedOn w:val="a0"/>
    <w:link w:val="af7"/>
    <w:uiPriority w:val="99"/>
    <w:semiHidden/>
    <w:unhideWhenUsed/>
    <w:rsid w:val="00A66BB5"/>
    <w:pPr>
      <w:jc w:val="left"/>
    </w:pPr>
  </w:style>
  <w:style w:type="character" w:customStyle="1" w:styleId="af7">
    <w:name w:val="批注文字 字符"/>
    <w:basedOn w:val="a1"/>
    <w:link w:val="af6"/>
    <w:uiPriority w:val="99"/>
    <w:semiHidden/>
    <w:rsid w:val="00A66BB5"/>
    <w:rPr>
      <w:rFonts w:asciiTheme="minorHAnsi" w:eastAsiaTheme="minorEastAsia" w:hAnsiTheme="minorHAnsi" w:cstheme="minorBidi"/>
      <w:kern w:val="2"/>
      <w:sz w:val="28"/>
      <w:szCs w:val="22"/>
    </w:rPr>
  </w:style>
  <w:style w:type="paragraph" w:styleId="af8">
    <w:name w:val="annotation subject"/>
    <w:basedOn w:val="af6"/>
    <w:next w:val="af6"/>
    <w:link w:val="af9"/>
    <w:uiPriority w:val="99"/>
    <w:semiHidden/>
    <w:unhideWhenUsed/>
    <w:rsid w:val="00A66BB5"/>
    <w:rPr>
      <w:b/>
      <w:bCs/>
    </w:rPr>
  </w:style>
  <w:style w:type="character" w:customStyle="1" w:styleId="af9">
    <w:name w:val="批注主题 字符"/>
    <w:basedOn w:val="af7"/>
    <w:link w:val="af8"/>
    <w:uiPriority w:val="99"/>
    <w:semiHidden/>
    <w:rsid w:val="00A66BB5"/>
    <w:rPr>
      <w:rFonts w:asciiTheme="minorHAnsi" w:eastAsiaTheme="minorEastAsia" w:hAnsiTheme="minorHAnsi" w:cstheme="minorBidi"/>
      <w:b/>
      <w:bCs/>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68225">
      <w:bodyDiv w:val="1"/>
      <w:marLeft w:val="0"/>
      <w:marRight w:val="0"/>
      <w:marTop w:val="0"/>
      <w:marBottom w:val="0"/>
      <w:divBdr>
        <w:top w:val="none" w:sz="0" w:space="0" w:color="auto"/>
        <w:left w:val="none" w:sz="0" w:space="0" w:color="auto"/>
        <w:bottom w:val="none" w:sz="0" w:space="0" w:color="auto"/>
        <w:right w:val="none" w:sz="0" w:space="0" w:color="auto"/>
      </w:divBdr>
    </w:div>
    <w:div w:id="516122491">
      <w:bodyDiv w:val="1"/>
      <w:marLeft w:val="0"/>
      <w:marRight w:val="0"/>
      <w:marTop w:val="0"/>
      <w:marBottom w:val="0"/>
      <w:divBdr>
        <w:top w:val="none" w:sz="0" w:space="0" w:color="auto"/>
        <w:left w:val="none" w:sz="0" w:space="0" w:color="auto"/>
        <w:bottom w:val="none" w:sz="0" w:space="0" w:color="auto"/>
        <w:right w:val="none" w:sz="0" w:space="0" w:color="auto"/>
      </w:divBdr>
    </w:div>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597368373">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3769880">
      <w:bodyDiv w:val="1"/>
      <w:marLeft w:val="0"/>
      <w:marRight w:val="0"/>
      <w:marTop w:val="0"/>
      <w:marBottom w:val="0"/>
      <w:divBdr>
        <w:top w:val="none" w:sz="0" w:space="0" w:color="auto"/>
        <w:left w:val="none" w:sz="0" w:space="0" w:color="auto"/>
        <w:bottom w:val="none" w:sz="0" w:space="0" w:color="auto"/>
        <w:right w:val="none" w:sz="0" w:space="0" w:color="auto"/>
      </w:divBdr>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964584191">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44869667">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11110305">
      <w:bodyDiv w:val="1"/>
      <w:marLeft w:val="0"/>
      <w:marRight w:val="0"/>
      <w:marTop w:val="0"/>
      <w:marBottom w:val="0"/>
      <w:divBdr>
        <w:top w:val="none" w:sz="0" w:space="0" w:color="auto"/>
        <w:left w:val="none" w:sz="0" w:space="0" w:color="auto"/>
        <w:bottom w:val="none" w:sz="0" w:space="0" w:color="auto"/>
        <w:right w:val="none" w:sz="0" w:space="0" w:color="auto"/>
      </w:divBdr>
    </w:div>
    <w:div w:id="1225020262">
      <w:bodyDiv w:val="1"/>
      <w:marLeft w:val="0"/>
      <w:marRight w:val="0"/>
      <w:marTop w:val="0"/>
      <w:marBottom w:val="0"/>
      <w:divBdr>
        <w:top w:val="none" w:sz="0" w:space="0" w:color="auto"/>
        <w:left w:val="none" w:sz="0" w:space="0" w:color="auto"/>
        <w:bottom w:val="none" w:sz="0" w:space="0" w:color="auto"/>
        <w:right w:val="none" w:sz="0" w:space="0" w:color="auto"/>
      </w:divBdr>
    </w:div>
    <w:div w:id="1260455924">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388994957">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06564031">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D13C90CD-9634-48C7-8281-23EBEC2844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358</Words>
  <Characters>2046</Characters>
  <Application>Microsoft Office Word</Application>
  <DocSecurity>0</DocSecurity>
  <Lines>17</Lines>
  <Paragraphs>4</Paragraphs>
  <ScaleCrop>false</ScaleCrop>
  <Company>Microsoft</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颖云 郭</cp:lastModifiedBy>
  <cp:revision>19</cp:revision>
  <dcterms:created xsi:type="dcterms:W3CDTF">2023-10-25T05:54:00Z</dcterms:created>
  <dcterms:modified xsi:type="dcterms:W3CDTF">2024-08-19T13:36:00Z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